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11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48DD4" w:themeFill="text2" w:themeFillTint="99"/>
        <w:tblLook w:val="04A0" w:firstRow="1" w:lastRow="0" w:firstColumn="1" w:lastColumn="0" w:noHBand="0" w:noVBand="1"/>
      </w:tblPr>
      <w:tblGrid>
        <w:gridCol w:w="2146"/>
        <w:gridCol w:w="6467"/>
        <w:gridCol w:w="2493"/>
      </w:tblGrid>
      <w:tr w:rsidR="00EA2FDC" w:rsidRPr="002F4F50" w:rsidTr="00EA2FDC">
        <w:trPr>
          <w:trHeight w:val="621"/>
        </w:trPr>
        <w:tc>
          <w:tcPr>
            <w:tcW w:w="861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48DD4" w:themeFill="text2" w:themeFillTint="99"/>
          </w:tcPr>
          <w:p w:rsidR="00EA2FDC" w:rsidRPr="00D93CA0" w:rsidRDefault="00A325D2" w:rsidP="00D93CA0">
            <w:pPr>
              <w:rPr>
                <w:sz w:val="44"/>
                <w:szCs w:val="44"/>
              </w:rPr>
            </w:pPr>
            <w:r w:rsidRPr="00D93CA0">
              <w:rPr>
                <w:color w:val="FFFFFF" w:themeColor="background1"/>
                <w:sz w:val="44"/>
                <w:szCs w:val="44"/>
              </w:rPr>
              <w:t xml:space="preserve">Procédure de </w:t>
            </w:r>
            <w:r w:rsidR="0072406A" w:rsidRPr="00D93CA0">
              <w:rPr>
                <w:color w:val="FFFFFF" w:themeColor="background1"/>
                <w:sz w:val="44"/>
                <w:szCs w:val="44"/>
              </w:rPr>
              <w:t>démarrage</w:t>
            </w:r>
            <w:r w:rsidRPr="00D93CA0">
              <w:rPr>
                <w:color w:val="FFFFFF" w:themeColor="background1"/>
                <w:sz w:val="44"/>
                <w:szCs w:val="44"/>
              </w:rPr>
              <w:t xml:space="preserve"> T-9</w:t>
            </w:r>
          </w:p>
        </w:tc>
        <w:tc>
          <w:tcPr>
            <w:tcW w:w="2493"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rsidR="00EA2FDC" w:rsidRPr="002F4F50" w:rsidRDefault="00EA2FDC" w:rsidP="00933F8D">
            <w:pPr>
              <w:pStyle w:val="Titre"/>
            </w:pPr>
            <w:r>
              <w:drawing>
                <wp:anchor distT="0" distB="0" distL="114300" distR="114300" simplePos="0" relativeHeight="251660288" behindDoc="0" locked="0" layoutInCell="1" allowOverlap="1" wp14:anchorId="2217260F" wp14:editId="6D1BC4D2">
                  <wp:simplePos x="0" y="0"/>
                  <wp:positionH relativeFrom="column">
                    <wp:posOffset>3810</wp:posOffset>
                  </wp:positionH>
                  <wp:positionV relativeFrom="paragraph">
                    <wp:posOffset>183515</wp:posOffset>
                  </wp:positionV>
                  <wp:extent cx="1436370" cy="73025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GA Voyage .png"/>
                          <pic:cNvPicPr/>
                        </pic:nvPicPr>
                        <pic:blipFill>
                          <a:blip r:embed="rId8">
                            <a:extLst>
                              <a:ext uri="{28A0092B-C50C-407E-A947-70E740481C1C}">
                                <a14:useLocalDpi xmlns:a14="http://schemas.microsoft.com/office/drawing/2010/main" val="0"/>
                              </a:ext>
                            </a:extLst>
                          </a:blip>
                          <a:stretch>
                            <a:fillRect/>
                          </a:stretch>
                        </pic:blipFill>
                        <pic:spPr>
                          <a:xfrm>
                            <a:off x="0" y="0"/>
                            <a:ext cx="1436370" cy="730250"/>
                          </a:xfrm>
                          <a:prstGeom prst="rect">
                            <a:avLst/>
                          </a:prstGeom>
                        </pic:spPr>
                      </pic:pic>
                    </a:graphicData>
                  </a:graphic>
                  <wp14:sizeRelH relativeFrom="margin">
                    <wp14:pctWidth>0</wp14:pctWidth>
                  </wp14:sizeRelH>
                  <wp14:sizeRelV relativeFrom="margin">
                    <wp14:pctHeight>0</wp14:pctHeight>
                  </wp14:sizeRelV>
                </wp:anchor>
              </w:drawing>
            </w:r>
          </w:p>
        </w:tc>
      </w:tr>
      <w:tr w:rsidR="00EA2FDC" w:rsidRPr="002F4F50" w:rsidTr="001A3641">
        <w:trPr>
          <w:trHeight w:val="262"/>
        </w:trPr>
        <w:tc>
          <w:tcPr>
            <w:tcW w:w="2146" w:type="dxa"/>
            <w:tcBorders>
              <w:top w:val="single" w:sz="4" w:space="0" w:color="FFFFFF" w:themeColor="background1"/>
              <w:right w:val="single" w:sz="4" w:space="0" w:color="FFFFFF" w:themeColor="background1"/>
            </w:tcBorders>
            <w:shd w:val="clear" w:color="auto" w:fill="548DD4" w:themeFill="text2" w:themeFillTint="99"/>
          </w:tcPr>
          <w:p w:rsidR="00EA2FDC" w:rsidRPr="00D93CA0" w:rsidRDefault="00EA2FDC" w:rsidP="00D93CA0">
            <w:pPr>
              <w:rPr>
                <w:sz w:val="40"/>
                <w:szCs w:val="40"/>
              </w:rPr>
            </w:pPr>
            <w:r w:rsidRPr="00D93CA0">
              <w:rPr>
                <w:color w:val="FFFFFF" w:themeColor="background1"/>
                <w:sz w:val="40"/>
                <w:szCs w:val="40"/>
              </w:rPr>
              <w:t>IGA T9</w:t>
            </w:r>
          </w:p>
        </w:tc>
        <w:tc>
          <w:tcPr>
            <w:tcW w:w="6467" w:type="dxa"/>
            <w:tcBorders>
              <w:top w:val="single" w:sz="4" w:space="0" w:color="FFFFFF" w:themeColor="background1"/>
              <w:left w:val="single" w:sz="4" w:space="0" w:color="FFFFFF" w:themeColor="background1"/>
            </w:tcBorders>
            <w:shd w:val="clear" w:color="auto" w:fill="548DD4" w:themeFill="text2" w:themeFillTint="99"/>
          </w:tcPr>
          <w:p w:rsidR="00EA2FDC" w:rsidRPr="00D93CA0" w:rsidRDefault="00335642" w:rsidP="00EB5376">
            <w:pPr>
              <w:rPr>
                <w:sz w:val="40"/>
                <w:szCs w:val="40"/>
              </w:rPr>
            </w:pPr>
            <w:r>
              <w:rPr>
                <w:color w:val="FFFFFF" w:themeColor="background1"/>
                <w:sz w:val="40"/>
                <w:szCs w:val="40"/>
              </w:rPr>
              <w:t>01 juillet 2020</w:t>
            </w:r>
          </w:p>
        </w:tc>
        <w:tc>
          <w:tcPr>
            <w:tcW w:w="2493" w:type="dxa"/>
            <w:tcBorders>
              <w:left w:val="single" w:sz="4" w:space="0" w:color="FFFFFF" w:themeColor="background1"/>
              <w:right w:val="single" w:sz="4" w:space="0" w:color="FFFFFF" w:themeColor="background1"/>
            </w:tcBorders>
            <w:shd w:val="clear" w:color="auto" w:fill="548DD4" w:themeFill="text2" w:themeFillTint="99"/>
          </w:tcPr>
          <w:p w:rsidR="00EA2FDC" w:rsidRPr="002F4F50" w:rsidRDefault="00EA2FDC" w:rsidP="00933F8D">
            <w:pPr>
              <w:pStyle w:val="Titre"/>
            </w:pPr>
          </w:p>
        </w:tc>
      </w:tr>
    </w:tbl>
    <w:p w:rsidR="00D4099D" w:rsidRDefault="00D4099D">
      <w:pPr>
        <w:rPr>
          <w:rStyle w:val="Emphaseintense"/>
          <w:b w:val="0"/>
          <w:i w:val="0"/>
        </w:rPr>
      </w:pPr>
    </w:p>
    <w:p w:rsidR="002F4F50" w:rsidRDefault="002F4F50">
      <w:pPr>
        <w:rPr>
          <w:rStyle w:val="Emphaseintense"/>
          <w:b w:val="0"/>
          <w:i w:val="0"/>
        </w:rPr>
      </w:pPr>
    </w:p>
    <w:p w:rsidR="002F4F50" w:rsidRPr="002F4F50" w:rsidRDefault="002F4F50">
      <w:pPr>
        <w:rPr>
          <w:rStyle w:val="Emphaseintense"/>
          <w:b w:val="0"/>
          <w:i w:val="0"/>
        </w:rPr>
      </w:pPr>
    </w:p>
    <w:sdt>
      <w:sdtPr>
        <w:rPr>
          <w:rFonts w:eastAsia="Times New Roman" w:cs="Times New Roman"/>
          <w:i/>
          <w:iCs/>
          <w:noProof w:val="0"/>
          <w:color w:val="auto"/>
          <w:kern w:val="0"/>
          <w:sz w:val="22"/>
          <w:szCs w:val="24"/>
        </w:rPr>
        <w:id w:val="698289205"/>
        <w:docPartObj>
          <w:docPartGallery w:val="Table of Contents"/>
          <w:docPartUnique/>
        </w:docPartObj>
      </w:sdtPr>
      <w:sdtEndPr>
        <w:rPr>
          <w:b w:val="0"/>
          <w:bCs w:val="0"/>
        </w:rPr>
      </w:sdtEndPr>
      <w:sdtContent>
        <w:p w:rsidR="0008036F" w:rsidRPr="004E3F44" w:rsidRDefault="002452FD" w:rsidP="00933F8D">
          <w:pPr>
            <w:pStyle w:val="Titre"/>
          </w:pPr>
          <w:r w:rsidRPr="004E3F44">
            <w:t>Sommaire</w:t>
          </w:r>
        </w:p>
        <w:p w:rsidR="0008036F" w:rsidRPr="0008036F" w:rsidRDefault="0008036F" w:rsidP="0008036F"/>
        <w:p w:rsidR="00BF2345" w:rsidRDefault="0008036F">
          <w:pPr>
            <w:pStyle w:val="TM1"/>
            <w:tabs>
              <w:tab w:val="left" w:pos="440"/>
              <w:tab w:val="right" w:leader="dot" w:pos="10456"/>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4064708" w:history="1">
            <w:r w:rsidR="00BF2345" w:rsidRPr="00660D40">
              <w:rPr>
                <w:rStyle w:val="Lienhypertexte"/>
                <w:noProof/>
              </w:rPr>
              <w:t>1</w:t>
            </w:r>
            <w:r w:rsidR="00BF2345">
              <w:rPr>
                <w:rFonts w:asciiTheme="minorHAnsi" w:eastAsiaTheme="minorEastAsia" w:hAnsiTheme="minorHAnsi" w:cstheme="minorBidi"/>
                <w:noProof/>
                <w:szCs w:val="22"/>
              </w:rPr>
              <w:tab/>
            </w:r>
            <w:r w:rsidR="00BF2345" w:rsidRPr="00660D40">
              <w:rPr>
                <w:rStyle w:val="Lienhypertexte"/>
                <w:noProof/>
              </w:rPr>
              <w:t>Accès à l’application</w:t>
            </w:r>
            <w:r w:rsidR="00BF2345">
              <w:rPr>
                <w:noProof/>
                <w:webHidden/>
              </w:rPr>
              <w:tab/>
            </w:r>
            <w:r w:rsidR="00BF2345">
              <w:rPr>
                <w:noProof/>
                <w:webHidden/>
              </w:rPr>
              <w:fldChar w:fldCharType="begin"/>
            </w:r>
            <w:r w:rsidR="00BF2345">
              <w:rPr>
                <w:noProof/>
                <w:webHidden/>
              </w:rPr>
              <w:instrText xml:space="preserve"> PAGEREF _Toc44064708 \h </w:instrText>
            </w:r>
            <w:r w:rsidR="00BF2345">
              <w:rPr>
                <w:noProof/>
                <w:webHidden/>
              </w:rPr>
            </w:r>
            <w:r w:rsidR="00BF2345">
              <w:rPr>
                <w:noProof/>
                <w:webHidden/>
              </w:rPr>
              <w:fldChar w:fldCharType="separate"/>
            </w:r>
            <w:r w:rsidR="00BF2345">
              <w:rPr>
                <w:noProof/>
                <w:webHidden/>
              </w:rPr>
              <w:t>2</w:t>
            </w:r>
            <w:r w:rsidR="00BF2345">
              <w:rPr>
                <w:noProof/>
                <w:webHidden/>
              </w:rPr>
              <w:fldChar w:fldCharType="end"/>
            </w:r>
          </w:hyperlink>
        </w:p>
        <w:p w:rsidR="00BF2345" w:rsidRDefault="00BF2345">
          <w:pPr>
            <w:pStyle w:val="TM1"/>
            <w:tabs>
              <w:tab w:val="left" w:pos="440"/>
              <w:tab w:val="right" w:leader="dot" w:pos="10456"/>
            </w:tabs>
            <w:rPr>
              <w:rFonts w:asciiTheme="minorHAnsi" w:eastAsiaTheme="minorEastAsia" w:hAnsiTheme="minorHAnsi" w:cstheme="minorBidi"/>
              <w:noProof/>
              <w:szCs w:val="22"/>
            </w:rPr>
          </w:pPr>
          <w:hyperlink w:anchor="_Toc44064709" w:history="1">
            <w:r w:rsidRPr="00660D40">
              <w:rPr>
                <w:rStyle w:val="Lienhypertexte"/>
                <w:noProof/>
              </w:rPr>
              <w:t>2</w:t>
            </w:r>
            <w:r>
              <w:rPr>
                <w:rFonts w:asciiTheme="minorHAnsi" w:eastAsiaTheme="minorEastAsia" w:hAnsiTheme="minorHAnsi" w:cstheme="minorBidi"/>
                <w:noProof/>
                <w:szCs w:val="22"/>
              </w:rPr>
              <w:tab/>
            </w:r>
            <w:r w:rsidRPr="00660D40">
              <w:rPr>
                <w:rStyle w:val="Lienhypertexte"/>
                <w:noProof/>
              </w:rPr>
              <w:t>Facturation Billetterie</w:t>
            </w:r>
            <w:r>
              <w:rPr>
                <w:noProof/>
                <w:webHidden/>
              </w:rPr>
              <w:tab/>
            </w:r>
            <w:r>
              <w:rPr>
                <w:noProof/>
                <w:webHidden/>
              </w:rPr>
              <w:fldChar w:fldCharType="begin"/>
            </w:r>
            <w:r>
              <w:rPr>
                <w:noProof/>
                <w:webHidden/>
              </w:rPr>
              <w:instrText xml:space="preserve"> PAGEREF _Toc44064709 \h </w:instrText>
            </w:r>
            <w:r>
              <w:rPr>
                <w:noProof/>
                <w:webHidden/>
              </w:rPr>
            </w:r>
            <w:r>
              <w:rPr>
                <w:noProof/>
                <w:webHidden/>
              </w:rPr>
              <w:fldChar w:fldCharType="separate"/>
            </w:r>
            <w:r>
              <w:rPr>
                <w:noProof/>
                <w:webHidden/>
              </w:rPr>
              <w:t>2</w:t>
            </w:r>
            <w:r>
              <w:rPr>
                <w:noProof/>
                <w:webHidden/>
              </w:rPr>
              <w:fldChar w:fldCharType="end"/>
            </w:r>
          </w:hyperlink>
        </w:p>
        <w:p w:rsidR="00BF2345" w:rsidRDefault="00BF2345">
          <w:pPr>
            <w:pStyle w:val="TM1"/>
            <w:tabs>
              <w:tab w:val="left" w:pos="440"/>
              <w:tab w:val="right" w:leader="dot" w:pos="10456"/>
            </w:tabs>
            <w:rPr>
              <w:rFonts w:asciiTheme="minorHAnsi" w:eastAsiaTheme="minorEastAsia" w:hAnsiTheme="minorHAnsi" w:cstheme="minorBidi"/>
              <w:noProof/>
              <w:szCs w:val="22"/>
            </w:rPr>
          </w:pPr>
          <w:hyperlink w:anchor="_Toc44064710" w:history="1">
            <w:r w:rsidRPr="00660D40">
              <w:rPr>
                <w:rStyle w:val="Lienhypertexte"/>
                <w:noProof/>
              </w:rPr>
              <w:t>3</w:t>
            </w:r>
            <w:r>
              <w:rPr>
                <w:rFonts w:asciiTheme="minorHAnsi" w:eastAsiaTheme="minorEastAsia" w:hAnsiTheme="minorHAnsi" w:cstheme="minorBidi"/>
                <w:noProof/>
                <w:szCs w:val="22"/>
              </w:rPr>
              <w:tab/>
            </w:r>
            <w:r w:rsidRPr="00660D40">
              <w:rPr>
                <w:rStyle w:val="Lienhypertexte"/>
                <w:noProof/>
              </w:rPr>
              <w:t>Gestion de la caisse (espèces)</w:t>
            </w:r>
            <w:r>
              <w:rPr>
                <w:noProof/>
                <w:webHidden/>
              </w:rPr>
              <w:tab/>
            </w:r>
            <w:r>
              <w:rPr>
                <w:noProof/>
                <w:webHidden/>
              </w:rPr>
              <w:fldChar w:fldCharType="begin"/>
            </w:r>
            <w:r>
              <w:rPr>
                <w:noProof/>
                <w:webHidden/>
              </w:rPr>
              <w:instrText xml:space="preserve"> PAGEREF _Toc44064710 \h </w:instrText>
            </w:r>
            <w:r>
              <w:rPr>
                <w:noProof/>
                <w:webHidden/>
              </w:rPr>
            </w:r>
            <w:r>
              <w:rPr>
                <w:noProof/>
                <w:webHidden/>
              </w:rPr>
              <w:fldChar w:fldCharType="separate"/>
            </w:r>
            <w:r>
              <w:rPr>
                <w:noProof/>
                <w:webHidden/>
              </w:rPr>
              <w:t>2</w:t>
            </w:r>
            <w:r>
              <w:rPr>
                <w:noProof/>
                <w:webHidden/>
              </w:rPr>
              <w:fldChar w:fldCharType="end"/>
            </w:r>
          </w:hyperlink>
        </w:p>
        <w:p w:rsidR="00BF2345" w:rsidRDefault="00BF2345">
          <w:pPr>
            <w:pStyle w:val="TM1"/>
            <w:tabs>
              <w:tab w:val="left" w:pos="440"/>
              <w:tab w:val="right" w:leader="dot" w:pos="10456"/>
            </w:tabs>
            <w:rPr>
              <w:rFonts w:asciiTheme="minorHAnsi" w:eastAsiaTheme="minorEastAsia" w:hAnsiTheme="minorHAnsi" w:cstheme="minorBidi"/>
              <w:noProof/>
              <w:szCs w:val="22"/>
            </w:rPr>
          </w:pPr>
          <w:hyperlink w:anchor="_Toc44064711" w:history="1">
            <w:r w:rsidRPr="00660D40">
              <w:rPr>
                <w:rStyle w:val="Lienhypertexte"/>
                <w:noProof/>
              </w:rPr>
              <w:t>4</w:t>
            </w:r>
            <w:r>
              <w:rPr>
                <w:rFonts w:asciiTheme="minorHAnsi" w:eastAsiaTheme="minorEastAsia" w:hAnsiTheme="minorHAnsi" w:cstheme="minorBidi"/>
                <w:noProof/>
                <w:szCs w:val="22"/>
              </w:rPr>
              <w:tab/>
            </w:r>
            <w:r w:rsidRPr="00660D40">
              <w:rPr>
                <w:rStyle w:val="Lienhypertexte"/>
                <w:noProof/>
              </w:rPr>
              <w:t>Récupération du fichier clients</w:t>
            </w:r>
            <w:r>
              <w:rPr>
                <w:noProof/>
                <w:webHidden/>
              </w:rPr>
              <w:tab/>
            </w:r>
            <w:r>
              <w:rPr>
                <w:noProof/>
                <w:webHidden/>
              </w:rPr>
              <w:fldChar w:fldCharType="begin"/>
            </w:r>
            <w:r>
              <w:rPr>
                <w:noProof/>
                <w:webHidden/>
              </w:rPr>
              <w:instrText xml:space="preserve"> PAGEREF _Toc44064711 \h </w:instrText>
            </w:r>
            <w:r>
              <w:rPr>
                <w:noProof/>
                <w:webHidden/>
              </w:rPr>
            </w:r>
            <w:r>
              <w:rPr>
                <w:noProof/>
                <w:webHidden/>
              </w:rPr>
              <w:fldChar w:fldCharType="separate"/>
            </w:r>
            <w:r>
              <w:rPr>
                <w:noProof/>
                <w:webHidden/>
              </w:rPr>
              <w:t>2</w:t>
            </w:r>
            <w:r>
              <w:rPr>
                <w:noProof/>
                <w:webHidden/>
              </w:rPr>
              <w:fldChar w:fldCharType="end"/>
            </w:r>
          </w:hyperlink>
        </w:p>
        <w:p w:rsidR="00BF2345" w:rsidRDefault="00BF2345">
          <w:pPr>
            <w:pStyle w:val="TM1"/>
            <w:tabs>
              <w:tab w:val="left" w:pos="440"/>
              <w:tab w:val="right" w:leader="dot" w:pos="10456"/>
            </w:tabs>
            <w:rPr>
              <w:rFonts w:asciiTheme="minorHAnsi" w:eastAsiaTheme="minorEastAsia" w:hAnsiTheme="minorHAnsi" w:cstheme="minorBidi"/>
              <w:noProof/>
              <w:szCs w:val="22"/>
            </w:rPr>
          </w:pPr>
          <w:hyperlink w:anchor="_Toc44064712" w:history="1">
            <w:r w:rsidRPr="00660D40">
              <w:rPr>
                <w:rStyle w:val="Lienhypertexte"/>
                <w:noProof/>
              </w:rPr>
              <w:t>5</w:t>
            </w:r>
            <w:r>
              <w:rPr>
                <w:rFonts w:asciiTheme="minorHAnsi" w:eastAsiaTheme="minorEastAsia" w:hAnsiTheme="minorHAnsi" w:cstheme="minorBidi"/>
                <w:noProof/>
                <w:szCs w:val="22"/>
              </w:rPr>
              <w:tab/>
            </w:r>
            <w:r w:rsidRPr="00660D40">
              <w:rPr>
                <w:rStyle w:val="Lienhypertexte"/>
                <w:noProof/>
              </w:rPr>
              <w:t>Récupération des arriérés clients</w:t>
            </w:r>
            <w:r>
              <w:rPr>
                <w:noProof/>
                <w:webHidden/>
              </w:rPr>
              <w:tab/>
            </w:r>
            <w:r>
              <w:rPr>
                <w:noProof/>
                <w:webHidden/>
              </w:rPr>
              <w:fldChar w:fldCharType="begin"/>
            </w:r>
            <w:r>
              <w:rPr>
                <w:noProof/>
                <w:webHidden/>
              </w:rPr>
              <w:instrText xml:space="preserve"> PAGEREF _Toc44064712 \h </w:instrText>
            </w:r>
            <w:r>
              <w:rPr>
                <w:noProof/>
                <w:webHidden/>
              </w:rPr>
            </w:r>
            <w:r>
              <w:rPr>
                <w:noProof/>
                <w:webHidden/>
              </w:rPr>
              <w:fldChar w:fldCharType="separate"/>
            </w:r>
            <w:r>
              <w:rPr>
                <w:noProof/>
                <w:webHidden/>
              </w:rPr>
              <w:t>3</w:t>
            </w:r>
            <w:r>
              <w:rPr>
                <w:noProof/>
                <w:webHidden/>
              </w:rPr>
              <w:fldChar w:fldCharType="end"/>
            </w:r>
          </w:hyperlink>
        </w:p>
        <w:p w:rsidR="00BF2345" w:rsidRDefault="00BF2345">
          <w:pPr>
            <w:pStyle w:val="TM1"/>
            <w:tabs>
              <w:tab w:val="left" w:pos="440"/>
              <w:tab w:val="right" w:leader="dot" w:pos="10456"/>
            </w:tabs>
            <w:rPr>
              <w:rFonts w:asciiTheme="minorHAnsi" w:eastAsiaTheme="minorEastAsia" w:hAnsiTheme="minorHAnsi" w:cstheme="minorBidi"/>
              <w:noProof/>
              <w:szCs w:val="22"/>
            </w:rPr>
          </w:pPr>
          <w:hyperlink w:anchor="_Toc44064713" w:history="1">
            <w:r w:rsidRPr="00660D40">
              <w:rPr>
                <w:rStyle w:val="Lienhypertexte"/>
                <w:noProof/>
              </w:rPr>
              <w:t>6</w:t>
            </w:r>
            <w:r>
              <w:rPr>
                <w:rFonts w:asciiTheme="minorHAnsi" w:eastAsiaTheme="minorEastAsia" w:hAnsiTheme="minorHAnsi" w:cstheme="minorBidi"/>
                <w:noProof/>
                <w:szCs w:val="22"/>
              </w:rPr>
              <w:tab/>
            </w:r>
            <w:r w:rsidRPr="00660D40">
              <w:rPr>
                <w:rStyle w:val="Lienhypertexte"/>
                <w:noProof/>
              </w:rPr>
              <w:t>Gestion des BI en cours</w:t>
            </w:r>
            <w:r>
              <w:rPr>
                <w:noProof/>
                <w:webHidden/>
              </w:rPr>
              <w:tab/>
            </w:r>
            <w:r>
              <w:rPr>
                <w:noProof/>
                <w:webHidden/>
              </w:rPr>
              <w:fldChar w:fldCharType="begin"/>
            </w:r>
            <w:r>
              <w:rPr>
                <w:noProof/>
                <w:webHidden/>
              </w:rPr>
              <w:instrText xml:space="preserve"> PAGEREF _Toc44064713 \h </w:instrText>
            </w:r>
            <w:r>
              <w:rPr>
                <w:noProof/>
                <w:webHidden/>
              </w:rPr>
            </w:r>
            <w:r>
              <w:rPr>
                <w:noProof/>
                <w:webHidden/>
              </w:rPr>
              <w:fldChar w:fldCharType="separate"/>
            </w:r>
            <w:r>
              <w:rPr>
                <w:noProof/>
                <w:webHidden/>
              </w:rPr>
              <w:t>3</w:t>
            </w:r>
            <w:r>
              <w:rPr>
                <w:noProof/>
                <w:webHidden/>
              </w:rPr>
              <w:fldChar w:fldCharType="end"/>
            </w:r>
          </w:hyperlink>
        </w:p>
        <w:p w:rsidR="00BF2345" w:rsidRDefault="00BF2345">
          <w:pPr>
            <w:pStyle w:val="TM1"/>
            <w:tabs>
              <w:tab w:val="left" w:pos="440"/>
              <w:tab w:val="right" w:leader="dot" w:pos="10456"/>
            </w:tabs>
            <w:rPr>
              <w:rFonts w:asciiTheme="minorHAnsi" w:eastAsiaTheme="minorEastAsia" w:hAnsiTheme="minorHAnsi" w:cstheme="minorBidi"/>
              <w:noProof/>
              <w:szCs w:val="22"/>
            </w:rPr>
          </w:pPr>
          <w:hyperlink w:anchor="_Toc44064714" w:history="1">
            <w:r w:rsidRPr="00660D40">
              <w:rPr>
                <w:rStyle w:val="Lienhypertexte"/>
                <w:noProof/>
              </w:rPr>
              <w:t>7</w:t>
            </w:r>
            <w:r>
              <w:rPr>
                <w:rFonts w:asciiTheme="minorHAnsi" w:eastAsiaTheme="minorEastAsia" w:hAnsiTheme="minorHAnsi" w:cstheme="minorBidi"/>
                <w:noProof/>
                <w:szCs w:val="22"/>
              </w:rPr>
              <w:tab/>
            </w:r>
            <w:r w:rsidRPr="00660D40">
              <w:rPr>
                <w:rStyle w:val="Lienhypertexte"/>
                <w:noProof/>
              </w:rPr>
              <w:t>Production</w:t>
            </w:r>
            <w:r>
              <w:rPr>
                <w:noProof/>
                <w:webHidden/>
              </w:rPr>
              <w:tab/>
            </w:r>
            <w:r>
              <w:rPr>
                <w:noProof/>
                <w:webHidden/>
              </w:rPr>
              <w:fldChar w:fldCharType="begin"/>
            </w:r>
            <w:r>
              <w:rPr>
                <w:noProof/>
                <w:webHidden/>
              </w:rPr>
              <w:instrText xml:space="preserve"> PAGEREF _Toc44064714 \h </w:instrText>
            </w:r>
            <w:r>
              <w:rPr>
                <w:noProof/>
                <w:webHidden/>
              </w:rPr>
            </w:r>
            <w:r>
              <w:rPr>
                <w:noProof/>
                <w:webHidden/>
              </w:rPr>
              <w:fldChar w:fldCharType="separate"/>
            </w:r>
            <w:r>
              <w:rPr>
                <w:noProof/>
                <w:webHidden/>
              </w:rPr>
              <w:t>3</w:t>
            </w:r>
            <w:r>
              <w:rPr>
                <w:noProof/>
                <w:webHidden/>
              </w:rPr>
              <w:fldChar w:fldCharType="end"/>
            </w:r>
          </w:hyperlink>
        </w:p>
        <w:p w:rsidR="00BF2345" w:rsidRDefault="00BF2345">
          <w:pPr>
            <w:pStyle w:val="TM1"/>
            <w:tabs>
              <w:tab w:val="left" w:pos="440"/>
              <w:tab w:val="right" w:leader="dot" w:pos="10456"/>
            </w:tabs>
            <w:rPr>
              <w:rFonts w:asciiTheme="minorHAnsi" w:eastAsiaTheme="minorEastAsia" w:hAnsiTheme="minorHAnsi" w:cstheme="minorBidi"/>
              <w:noProof/>
              <w:szCs w:val="22"/>
            </w:rPr>
          </w:pPr>
          <w:hyperlink w:anchor="_Toc44064715" w:history="1">
            <w:r w:rsidRPr="00660D40">
              <w:rPr>
                <w:rStyle w:val="Lienhypertexte"/>
                <w:noProof/>
              </w:rPr>
              <w:t>8</w:t>
            </w:r>
            <w:r>
              <w:rPr>
                <w:rFonts w:asciiTheme="minorHAnsi" w:eastAsiaTheme="minorEastAsia" w:hAnsiTheme="minorHAnsi" w:cstheme="minorBidi"/>
                <w:noProof/>
                <w:szCs w:val="22"/>
              </w:rPr>
              <w:tab/>
            </w:r>
            <w:r w:rsidRPr="00660D40">
              <w:rPr>
                <w:rStyle w:val="Lienhypertexte"/>
                <w:noProof/>
              </w:rPr>
              <w:t>Fournisseurs</w:t>
            </w:r>
            <w:r>
              <w:rPr>
                <w:noProof/>
                <w:webHidden/>
              </w:rPr>
              <w:tab/>
            </w:r>
            <w:r>
              <w:rPr>
                <w:noProof/>
                <w:webHidden/>
              </w:rPr>
              <w:fldChar w:fldCharType="begin"/>
            </w:r>
            <w:r>
              <w:rPr>
                <w:noProof/>
                <w:webHidden/>
              </w:rPr>
              <w:instrText xml:space="preserve"> PAGEREF _Toc44064715 \h </w:instrText>
            </w:r>
            <w:r>
              <w:rPr>
                <w:noProof/>
                <w:webHidden/>
              </w:rPr>
            </w:r>
            <w:r>
              <w:rPr>
                <w:noProof/>
                <w:webHidden/>
              </w:rPr>
              <w:fldChar w:fldCharType="separate"/>
            </w:r>
            <w:r>
              <w:rPr>
                <w:noProof/>
                <w:webHidden/>
              </w:rPr>
              <w:t>3</w:t>
            </w:r>
            <w:r>
              <w:rPr>
                <w:noProof/>
                <w:webHidden/>
              </w:rPr>
              <w:fldChar w:fldCharType="end"/>
            </w:r>
          </w:hyperlink>
        </w:p>
        <w:p w:rsidR="00BF2345" w:rsidRDefault="00BF2345">
          <w:pPr>
            <w:pStyle w:val="TM1"/>
            <w:tabs>
              <w:tab w:val="left" w:pos="440"/>
              <w:tab w:val="right" w:leader="dot" w:pos="10456"/>
            </w:tabs>
            <w:rPr>
              <w:rFonts w:asciiTheme="minorHAnsi" w:eastAsiaTheme="minorEastAsia" w:hAnsiTheme="minorHAnsi" w:cstheme="minorBidi"/>
              <w:noProof/>
              <w:szCs w:val="22"/>
            </w:rPr>
          </w:pPr>
          <w:hyperlink w:anchor="_Toc44064716" w:history="1">
            <w:r w:rsidRPr="00660D40">
              <w:rPr>
                <w:rStyle w:val="Lienhypertexte"/>
                <w:noProof/>
              </w:rPr>
              <w:t>9</w:t>
            </w:r>
            <w:r>
              <w:rPr>
                <w:rFonts w:asciiTheme="minorHAnsi" w:eastAsiaTheme="minorEastAsia" w:hAnsiTheme="minorHAnsi" w:cstheme="minorBidi"/>
                <w:noProof/>
                <w:szCs w:val="22"/>
              </w:rPr>
              <w:tab/>
            </w:r>
            <w:r w:rsidRPr="00660D40">
              <w:rPr>
                <w:rStyle w:val="Lienhypertexte"/>
                <w:noProof/>
              </w:rPr>
              <w:t>Bordereau de remise en banque</w:t>
            </w:r>
            <w:r>
              <w:rPr>
                <w:noProof/>
                <w:webHidden/>
              </w:rPr>
              <w:tab/>
            </w:r>
            <w:r>
              <w:rPr>
                <w:noProof/>
                <w:webHidden/>
              </w:rPr>
              <w:fldChar w:fldCharType="begin"/>
            </w:r>
            <w:r>
              <w:rPr>
                <w:noProof/>
                <w:webHidden/>
              </w:rPr>
              <w:instrText xml:space="preserve"> PAGEREF _Toc44064716 \h </w:instrText>
            </w:r>
            <w:r>
              <w:rPr>
                <w:noProof/>
                <w:webHidden/>
              </w:rPr>
            </w:r>
            <w:r>
              <w:rPr>
                <w:noProof/>
                <w:webHidden/>
              </w:rPr>
              <w:fldChar w:fldCharType="separate"/>
            </w:r>
            <w:r>
              <w:rPr>
                <w:noProof/>
                <w:webHidden/>
              </w:rPr>
              <w:t>3</w:t>
            </w:r>
            <w:r>
              <w:rPr>
                <w:noProof/>
                <w:webHidden/>
              </w:rPr>
              <w:fldChar w:fldCharType="end"/>
            </w:r>
          </w:hyperlink>
        </w:p>
        <w:p w:rsidR="00BF2345" w:rsidRDefault="00BF2345">
          <w:pPr>
            <w:pStyle w:val="TM1"/>
            <w:tabs>
              <w:tab w:val="left" w:pos="660"/>
              <w:tab w:val="right" w:leader="dot" w:pos="10456"/>
            </w:tabs>
            <w:rPr>
              <w:rFonts w:asciiTheme="minorHAnsi" w:eastAsiaTheme="minorEastAsia" w:hAnsiTheme="minorHAnsi" w:cstheme="minorBidi"/>
              <w:noProof/>
              <w:szCs w:val="22"/>
            </w:rPr>
          </w:pPr>
          <w:hyperlink w:anchor="_Toc44064717" w:history="1">
            <w:r w:rsidRPr="00660D40">
              <w:rPr>
                <w:rStyle w:val="Lienhypertexte"/>
                <w:noProof/>
              </w:rPr>
              <w:t>10</w:t>
            </w:r>
            <w:r>
              <w:rPr>
                <w:rFonts w:asciiTheme="minorHAnsi" w:eastAsiaTheme="minorEastAsia" w:hAnsiTheme="minorHAnsi" w:cstheme="minorBidi"/>
                <w:noProof/>
                <w:szCs w:val="22"/>
              </w:rPr>
              <w:tab/>
            </w:r>
            <w:r w:rsidRPr="00660D40">
              <w:rPr>
                <w:rStyle w:val="Lienhypertexte"/>
                <w:noProof/>
              </w:rPr>
              <w:t>Comptabilité</w:t>
            </w:r>
            <w:r>
              <w:rPr>
                <w:noProof/>
                <w:webHidden/>
              </w:rPr>
              <w:tab/>
            </w:r>
            <w:r>
              <w:rPr>
                <w:noProof/>
                <w:webHidden/>
              </w:rPr>
              <w:fldChar w:fldCharType="begin"/>
            </w:r>
            <w:r>
              <w:rPr>
                <w:noProof/>
                <w:webHidden/>
              </w:rPr>
              <w:instrText xml:space="preserve"> PAGEREF _Toc44064717 \h </w:instrText>
            </w:r>
            <w:r>
              <w:rPr>
                <w:noProof/>
                <w:webHidden/>
              </w:rPr>
            </w:r>
            <w:r>
              <w:rPr>
                <w:noProof/>
                <w:webHidden/>
              </w:rPr>
              <w:fldChar w:fldCharType="separate"/>
            </w:r>
            <w:r>
              <w:rPr>
                <w:noProof/>
                <w:webHidden/>
              </w:rPr>
              <w:t>4</w:t>
            </w:r>
            <w:r>
              <w:rPr>
                <w:noProof/>
                <w:webHidden/>
              </w:rPr>
              <w:fldChar w:fldCharType="end"/>
            </w:r>
          </w:hyperlink>
        </w:p>
        <w:p w:rsidR="00BF2345" w:rsidRDefault="00BF2345">
          <w:pPr>
            <w:pStyle w:val="TM1"/>
            <w:tabs>
              <w:tab w:val="left" w:pos="660"/>
              <w:tab w:val="right" w:leader="dot" w:pos="10456"/>
            </w:tabs>
            <w:rPr>
              <w:rFonts w:asciiTheme="minorHAnsi" w:eastAsiaTheme="minorEastAsia" w:hAnsiTheme="minorHAnsi" w:cstheme="minorBidi"/>
              <w:noProof/>
              <w:szCs w:val="22"/>
            </w:rPr>
          </w:pPr>
          <w:hyperlink w:anchor="_Toc44064718" w:history="1">
            <w:r w:rsidRPr="00660D40">
              <w:rPr>
                <w:rStyle w:val="Lienhypertexte"/>
                <w:noProof/>
              </w:rPr>
              <w:t>11</w:t>
            </w:r>
            <w:r>
              <w:rPr>
                <w:rFonts w:asciiTheme="minorHAnsi" w:eastAsiaTheme="minorEastAsia" w:hAnsiTheme="minorHAnsi" w:cstheme="minorBidi"/>
                <w:noProof/>
                <w:szCs w:val="22"/>
              </w:rPr>
              <w:tab/>
            </w:r>
            <w:r w:rsidRPr="00660D40">
              <w:rPr>
                <w:rStyle w:val="Lienhypertexte"/>
                <w:noProof/>
              </w:rPr>
              <w:t>FAQ</w:t>
            </w:r>
            <w:r>
              <w:rPr>
                <w:noProof/>
                <w:webHidden/>
              </w:rPr>
              <w:tab/>
            </w:r>
            <w:r>
              <w:rPr>
                <w:noProof/>
                <w:webHidden/>
              </w:rPr>
              <w:fldChar w:fldCharType="begin"/>
            </w:r>
            <w:r>
              <w:rPr>
                <w:noProof/>
                <w:webHidden/>
              </w:rPr>
              <w:instrText xml:space="preserve"> PAGEREF _Toc44064718 \h </w:instrText>
            </w:r>
            <w:r>
              <w:rPr>
                <w:noProof/>
                <w:webHidden/>
              </w:rPr>
            </w:r>
            <w:r>
              <w:rPr>
                <w:noProof/>
                <w:webHidden/>
              </w:rPr>
              <w:fldChar w:fldCharType="separate"/>
            </w:r>
            <w:r>
              <w:rPr>
                <w:noProof/>
                <w:webHidden/>
              </w:rPr>
              <w:t>4</w:t>
            </w:r>
            <w:r>
              <w:rPr>
                <w:noProof/>
                <w:webHidden/>
              </w:rPr>
              <w:fldChar w:fldCharType="end"/>
            </w:r>
          </w:hyperlink>
        </w:p>
        <w:p w:rsidR="0008036F" w:rsidRDefault="0008036F">
          <w:r>
            <w:rPr>
              <w:b/>
              <w:bCs/>
            </w:rPr>
            <w:fldChar w:fldCharType="end"/>
          </w:r>
        </w:p>
      </w:sdtContent>
    </w:sdt>
    <w:p w:rsidR="0008036F" w:rsidRDefault="0008036F" w:rsidP="00030FE0">
      <w:pPr>
        <w:rPr>
          <w:rStyle w:val="Emphaseintense"/>
          <w:i w:val="0"/>
        </w:rPr>
      </w:pPr>
    </w:p>
    <w:p w:rsidR="006A0041" w:rsidRDefault="00E40E8E">
      <w:r>
        <w:br w:type="page"/>
      </w:r>
      <w:bookmarkStart w:id="0" w:name="_GoBack"/>
      <w:bookmarkEnd w:id="0"/>
    </w:p>
    <w:p w:rsidR="006A0041" w:rsidRDefault="00521DD0" w:rsidP="00933F8D">
      <w:pPr>
        <w:pStyle w:val="Titre1"/>
      </w:pPr>
      <w:bookmarkStart w:id="1" w:name="_Toc44064708"/>
      <w:r>
        <w:lastRenderedPageBreak/>
        <w:t>Accès à l’application</w:t>
      </w:r>
      <w:bookmarkEnd w:id="1"/>
    </w:p>
    <w:p w:rsidR="00521DD0" w:rsidRDefault="00521DD0" w:rsidP="00521DD0">
      <w:r>
        <w:t xml:space="preserve">Vous trouverez ci-dessous le lien </w:t>
      </w:r>
      <w:r w:rsidR="001A3E10">
        <w:t xml:space="preserve">qui </w:t>
      </w:r>
      <w:r>
        <w:t>vous permett</w:t>
      </w:r>
      <w:r w:rsidR="001A3E10">
        <w:t>ra</w:t>
      </w:r>
      <w:r w:rsidR="00013140">
        <w:t xml:space="preserve"> d’accéder à votre </w:t>
      </w:r>
      <w:r w:rsidR="00964838">
        <w:t>application</w:t>
      </w:r>
      <w:r w:rsidR="00013140">
        <w:t xml:space="preserve"> IGA T9</w:t>
      </w:r>
      <w:r w:rsidR="00964838">
        <w:t xml:space="preserve"> </w:t>
      </w:r>
      <w:r>
        <w:t>:</w:t>
      </w:r>
    </w:p>
    <w:p w:rsidR="000A1329" w:rsidRDefault="000A1329" w:rsidP="00521DD0"/>
    <w:p w:rsidR="00521DD0" w:rsidRDefault="006D2EDA" w:rsidP="00521DD0">
      <w:hyperlink r:id="rId9" w:history="1">
        <w:r w:rsidR="000A1329" w:rsidRPr="00B52BF6">
          <w:rPr>
            <w:rStyle w:val="Lienhypertexte"/>
          </w:rPr>
          <w:t>http://t9.iga-voyage.fr</w:t>
        </w:r>
      </w:hyperlink>
      <w:r w:rsidR="000A1329">
        <w:t xml:space="preserve"> </w:t>
      </w:r>
    </w:p>
    <w:p w:rsidR="00EB428F" w:rsidRDefault="00EB428F" w:rsidP="00933F8D">
      <w:pPr>
        <w:pStyle w:val="Titre1"/>
      </w:pPr>
      <w:bookmarkStart w:id="2" w:name="_Toc44064709"/>
      <w:r>
        <w:t>Facturation Billetterie</w:t>
      </w:r>
      <w:bookmarkEnd w:id="2"/>
    </w:p>
    <w:p w:rsidR="00EB428F" w:rsidRPr="00EB428F" w:rsidRDefault="00EB428F" w:rsidP="00EB428F">
      <w:r>
        <w:t xml:space="preserve">Tous les billets émis avant la date de démarrage sur T-9 devront </w:t>
      </w:r>
      <w:r w:rsidR="00B849CE">
        <w:t xml:space="preserve">être </w:t>
      </w:r>
      <w:r>
        <w:t xml:space="preserve">facturés sur </w:t>
      </w:r>
      <w:r w:rsidR="00A746A7">
        <w:t>IGANET</w:t>
      </w:r>
      <w:r>
        <w:t xml:space="preserve">. La date de facturation devra être antérieure à la date de démarrage. Les billets présents sur </w:t>
      </w:r>
      <w:r w:rsidR="00A746A7">
        <w:t>IGANET</w:t>
      </w:r>
      <w:r>
        <w:t xml:space="preserve"> ne remonteront pas sur T-9.</w:t>
      </w:r>
      <w:r w:rsidR="005127FC">
        <w:t xml:space="preserve"> </w:t>
      </w:r>
      <w:r w:rsidR="00FC0985" w:rsidRPr="00FC0985">
        <w:t xml:space="preserve">La remontée de votre billetterie vers </w:t>
      </w:r>
      <w:r w:rsidR="00A746A7">
        <w:t xml:space="preserve">IGANET </w:t>
      </w:r>
      <w:r w:rsidR="00FC0985" w:rsidRPr="00FC0985">
        <w:t>sera aiguillée vers T9 le jour du démarrage</w:t>
      </w:r>
      <w:r w:rsidR="00FC0985">
        <w:t>.</w:t>
      </w:r>
    </w:p>
    <w:p w:rsidR="00071C90" w:rsidRDefault="00071C90" w:rsidP="00933F8D">
      <w:pPr>
        <w:pStyle w:val="Titre1"/>
      </w:pPr>
      <w:bookmarkStart w:id="3" w:name="_Toc44064710"/>
      <w:r>
        <w:t>Gestion de la caisse (espèce</w:t>
      </w:r>
      <w:r w:rsidR="00335642">
        <w:t>s</w:t>
      </w:r>
      <w:r>
        <w:t>)</w:t>
      </w:r>
      <w:bookmarkEnd w:id="3"/>
    </w:p>
    <w:p w:rsidR="00071C90" w:rsidRDefault="00013140" w:rsidP="00071C90">
      <w:r>
        <w:t>La veille du démarrage à la fermeture : p</w:t>
      </w:r>
      <w:r w:rsidR="00071C90">
        <w:t xml:space="preserve">rocédez à la clôture de votre caisse. Faites un versement en banque si besoin puis envoyez un mail à </w:t>
      </w:r>
      <w:r w:rsidR="00437E01">
        <w:t>votre interlocuteur IGA qui gère votre démarrage</w:t>
      </w:r>
      <w:r w:rsidR="00071C90">
        <w:t xml:space="preserve"> en indiquant le montant de votre fond de caisse au centime près.</w:t>
      </w:r>
      <w:r w:rsidR="00964838">
        <w:t xml:space="preserve"> </w:t>
      </w:r>
    </w:p>
    <w:p w:rsidR="00071C90" w:rsidRDefault="00071C90" w:rsidP="00071C90"/>
    <w:p w:rsidR="00680C8C" w:rsidRDefault="00071C90" w:rsidP="00071C90">
      <w:r>
        <w:t xml:space="preserve">Le </w:t>
      </w:r>
      <w:r w:rsidR="00013140">
        <w:t>jour du démarrage</w:t>
      </w:r>
      <w:r w:rsidR="00EB1D44">
        <w:t xml:space="preserve"> </w:t>
      </w:r>
      <w:r w:rsidR="00437E01">
        <w:t>: a</w:t>
      </w:r>
      <w:r>
        <w:t xml:space="preserve">ttendre le feu vert </w:t>
      </w:r>
      <w:r w:rsidR="00437E01">
        <w:t>d’IGA</w:t>
      </w:r>
      <w:r>
        <w:t xml:space="preserve"> pour saisir des espèces sur votre application T-9. Le fond de caisse doit être saisi avant le premier encaissement.</w:t>
      </w:r>
      <w:r w:rsidR="00AA0184">
        <w:t xml:space="preserve"> </w:t>
      </w:r>
    </w:p>
    <w:p w:rsidR="00521DD0" w:rsidRDefault="00BC1910" w:rsidP="00933F8D">
      <w:pPr>
        <w:pStyle w:val="Titre1"/>
      </w:pPr>
      <w:bookmarkStart w:id="4" w:name="_Toc44064711"/>
      <w:r>
        <w:t>Récupération du fichier clients</w:t>
      </w:r>
      <w:bookmarkEnd w:id="4"/>
    </w:p>
    <w:p w:rsidR="00335642" w:rsidRDefault="00335642" w:rsidP="00335642">
      <w:r>
        <w:t xml:space="preserve">La constitution du fichier clients s’est basée sur les normes liées au RGPD (règlement général sur la protection des données) à savoir : </w:t>
      </w:r>
    </w:p>
    <w:p w:rsidR="00335642" w:rsidRDefault="00335642" w:rsidP="00335642">
      <w:pPr>
        <w:pStyle w:val="Paragraphedeliste"/>
        <w:numPr>
          <w:ilvl w:val="0"/>
          <w:numId w:val="29"/>
        </w:numPr>
        <w:spacing w:after="160" w:afterAutospacing="0"/>
        <w:jc w:val="both"/>
        <w:rPr>
          <w:lang w:eastAsia="fr-FR"/>
        </w:rPr>
      </w:pPr>
      <w:r>
        <w:rPr>
          <w:lang w:eastAsia="fr-FR"/>
        </w:rPr>
        <w:t>Clients Compte : si toutes les pièces (facture et avoirs) sont soldées et que la date de la dernière pièce (facture, avoir, règlement, BI) est antérieure au 01/01/2017, le client n’est pas repris.</w:t>
      </w:r>
    </w:p>
    <w:p w:rsidR="00335642" w:rsidRDefault="00335642" w:rsidP="00335642">
      <w:pPr>
        <w:pStyle w:val="Paragraphedeliste"/>
        <w:numPr>
          <w:ilvl w:val="0"/>
          <w:numId w:val="29"/>
        </w:numPr>
        <w:spacing w:after="160" w:afterAutospacing="0"/>
        <w:jc w:val="both"/>
        <w:rPr>
          <w:lang w:eastAsia="fr-FR"/>
        </w:rPr>
      </w:pPr>
      <w:r>
        <w:rPr>
          <w:lang w:eastAsia="fr-FR"/>
        </w:rPr>
        <w:t>Clients Tourisme : si toutes les pièces (facture et avoirs) sont soldées et que la date de la dernière pièce (facture, avoir, règlement, BI) est antérieure au 01/01/2016, le client n’est pas repris.</w:t>
      </w:r>
    </w:p>
    <w:p w:rsidR="00335642" w:rsidRDefault="00335642" w:rsidP="00335642">
      <w:pPr>
        <w:pStyle w:val="Paragraphedeliste"/>
        <w:numPr>
          <w:ilvl w:val="0"/>
          <w:numId w:val="29"/>
        </w:numPr>
        <w:spacing w:after="160" w:afterAutospacing="0"/>
        <w:jc w:val="both"/>
        <w:rPr>
          <w:lang w:eastAsia="fr-FR"/>
        </w:rPr>
      </w:pPr>
      <w:r>
        <w:rPr>
          <w:lang w:eastAsia="fr-FR"/>
        </w:rPr>
        <w:t xml:space="preserve">Les clients créés depuis moins de 4 ans n’ayant aucune pièce associée (encaissement, BI, facture) sont importés. </w:t>
      </w:r>
    </w:p>
    <w:p w:rsidR="00335642" w:rsidRDefault="00335642" w:rsidP="00335642">
      <w:pPr>
        <w:spacing w:after="160"/>
        <w:jc w:val="both"/>
      </w:pPr>
      <w:r>
        <w:t>Un premier import a été réalisé avant la date de démarrage. Nous effectuerons la récupération des clients créés entre ce premier import et la date de démarrage durant la première semaine.</w:t>
      </w:r>
    </w:p>
    <w:p w:rsidR="005D543F" w:rsidRDefault="005D543F" w:rsidP="005D543F">
      <w:r>
        <w:t xml:space="preserve">Les informations récupérées de vos clients </w:t>
      </w:r>
      <w:r w:rsidR="00A746A7" w:rsidRPr="00A746A7">
        <w:t xml:space="preserve">IGANET </w:t>
      </w:r>
      <w:r>
        <w:t>sont les suivantes :</w:t>
      </w:r>
    </w:p>
    <w:p w:rsidR="005D543F" w:rsidRDefault="005D543F" w:rsidP="005D543F">
      <w:pPr>
        <w:pStyle w:val="Paragraphedeliste"/>
        <w:numPr>
          <w:ilvl w:val="0"/>
          <w:numId w:val="26"/>
        </w:numPr>
      </w:pPr>
      <w:r>
        <w:t>Nom/Prénom/Civilité</w:t>
      </w:r>
    </w:p>
    <w:p w:rsidR="005D543F" w:rsidRDefault="005D543F" w:rsidP="005D543F">
      <w:pPr>
        <w:pStyle w:val="Paragraphedeliste"/>
        <w:numPr>
          <w:ilvl w:val="0"/>
          <w:numId w:val="26"/>
        </w:numPr>
      </w:pPr>
      <w:r>
        <w:t>Adresse</w:t>
      </w:r>
    </w:p>
    <w:p w:rsidR="005D543F" w:rsidRDefault="005D543F" w:rsidP="005D543F">
      <w:pPr>
        <w:pStyle w:val="Paragraphedeliste"/>
        <w:numPr>
          <w:ilvl w:val="0"/>
          <w:numId w:val="26"/>
        </w:numPr>
      </w:pPr>
      <w:r>
        <w:t>CP/Ville</w:t>
      </w:r>
    </w:p>
    <w:p w:rsidR="00A14A15" w:rsidRDefault="00A14A15" w:rsidP="00A14A15">
      <w:pPr>
        <w:pStyle w:val="Paragraphedeliste"/>
        <w:numPr>
          <w:ilvl w:val="0"/>
          <w:numId w:val="26"/>
        </w:numPr>
      </w:pPr>
      <w:r>
        <w:t>Téléphone (Numéro de portable et numéro de fixe)</w:t>
      </w:r>
    </w:p>
    <w:p w:rsidR="00A14A15" w:rsidRDefault="00A14A15" w:rsidP="00A14A15">
      <w:pPr>
        <w:pStyle w:val="Paragraphedeliste"/>
        <w:numPr>
          <w:ilvl w:val="1"/>
          <w:numId w:val="26"/>
        </w:numPr>
      </w:pPr>
      <w:r>
        <w:t>Clients « Tourisme » : Si votre client dispose de plus de deux numéros ils seront injectés dans le champ « Commentaire » de la fiche client T-9.</w:t>
      </w:r>
    </w:p>
    <w:p w:rsidR="00A14A15" w:rsidRDefault="00A14A15" w:rsidP="00A14A15">
      <w:pPr>
        <w:pStyle w:val="Paragraphedeliste"/>
        <w:numPr>
          <w:ilvl w:val="1"/>
          <w:numId w:val="26"/>
        </w:numPr>
      </w:pPr>
      <w:r>
        <w:t xml:space="preserve">Clients « En Compte » : </w:t>
      </w:r>
      <w:r w:rsidRPr="002173F5">
        <w:t xml:space="preserve">l’information sera intégrée </w:t>
      </w:r>
      <w:r>
        <w:t>dans le panel « C</w:t>
      </w:r>
      <w:r w:rsidRPr="002173F5">
        <w:t>ontact</w:t>
      </w:r>
      <w:r>
        <w:t> » de</w:t>
      </w:r>
      <w:r w:rsidRPr="002173F5">
        <w:t xml:space="preserve"> T9</w:t>
      </w:r>
      <w:r>
        <w:t>.</w:t>
      </w:r>
    </w:p>
    <w:p w:rsidR="00A14A15" w:rsidRDefault="00A14A15" w:rsidP="00A14A15">
      <w:pPr>
        <w:pStyle w:val="Paragraphedeliste"/>
        <w:numPr>
          <w:ilvl w:val="0"/>
          <w:numId w:val="26"/>
        </w:numPr>
      </w:pPr>
      <w:r>
        <w:t xml:space="preserve">Email </w:t>
      </w:r>
    </w:p>
    <w:p w:rsidR="00A14A15" w:rsidRDefault="00A14A15" w:rsidP="00A14A15">
      <w:pPr>
        <w:pStyle w:val="Paragraphedeliste"/>
        <w:numPr>
          <w:ilvl w:val="1"/>
          <w:numId w:val="26"/>
        </w:numPr>
      </w:pPr>
      <w:r>
        <w:t xml:space="preserve">Clients « Tourisme » : Au-delà d’une adresse email par client, l’information sera ajoutée dans le champ « Commentaire » de la fiche client T-9. </w:t>
      </w:r>
    </w:p>
    <w:p w:rsidR="005D543F" w:rsidRDefault="00A14A15" w:rsidP="00A14A15">
      <w:pPr>
        <w:pStyle w:val="Paragraphedeliste"/>
        <w:numPr>
          <w:ilvl w:val="1"/>
          <w:numId w:val="26"/>
        </w:numPr>
      </w:pPr>
      <w:r>
        <w:t xml:space="preserve">Clients « En Compte » : </w:t>
      </w:r>
      <w:r w:rsidRPr="002173F5">
        <w:t xml:space="preserve">l’information sera intégrée </w:t>
      </w:r>
      <w:r>
        <w:t>dans le panel « C</w:t>
      </w:r>
      <w:r w:rsidRPr="002173F5">
        <w:t>ontact</w:t>
      </w:r>
      <w:r>
        <w:t> » de</w:t>
      </w:r>
      <w:r w:rsidRPr="002173F5">
        <w:t xml:space="preserve"> T9</w:t>
      </w:r>
      <w:r>
        <w:t>.</w:t>
      </w:r>
      <w:r w:rsidR="00661B67">
        <w:t xml:space="preserve"> </w:t>
      </w:r>
    </w:p>
    <w:p w:rsidR="001F4625" w:rsidRDefault="001F4625" w:rsidP="001F4625">
      <w:pPr>
        <w:pStyle w:val="Paragraphedeliste"/>
        <w:numPr>
          <w:ilvl w:val="0"/>
          <w:numId w:val="26"/>
        </w:numPr>
      </w:pPr>
      <w:r>
        <w:t>Modèle de frais</w:t>
      </w:r>
    </w:p>
    <w:p w:rsidR="001F4625" w:rsidRDefault="001F4625" w:rsidP="001F4625">
      <w:pPr>
        <w:pStyle w:val="Paragraphedeliste"/>
        <w:numPr>
          <w:ilvl w:val="0"/>
          <w:numId w:val="26"/>
        </w:numPr>
      </w:pPr>
      <w:r>
        <w:t>Profil</w:t>
      </w:r>
    </w:p>
    <w:p w:rsidR="001F4625" w:rsidRDefault="001F4625" w:rsidP="001F4625">
      <w:pPr>
        <w:pStyle w:val="Paragraphedeliste"/>
        <w:numPr>
          <w:ilvl w:val="0"/>
          <w:numId w:val="26"/>
        </w:numPr>
      </w:pPr>
      <w:r>
        <w:t>Paramétrage des relevés</w:t>
      </w:r>
    </w:p>
    <w:p w:rsidR="001F4625" w:rsidRDefault="001F4625" w:rsidP="001F4625">
      <w:pPr>
        <w:pStyle w:val="Paragraphedeliste"/>
        <w:numPr>
          <w:ilvl w:val="0"/>
          <w:numId w:val="26"/>
        </w:numPr>
      </w:pPr>
      <w:r>
        <w:t>Paramétrage des cartes logées</w:t>
      </w:r>
    </w:p>
    <w:p w:rsidR="00752148" w:rsidRDefault="00752148" w:rsidP="00933F8D">
      <w:pPr>
        <w:pStyle w:val="Titre1"/>
      </w:pPr>
      <w:bookmarkStart w:id="5" w:name="_Toc44064712"/>
      <w:r>
        <w:lastRenderedPageBreak/>
        <w:t>Récupération des arriérés clients</w:t>
      </w:r>
      <w:bookmarkEnd w:id="5"/>
    </w:p>
    <w:p w:rsidR="00543F3C" w:rsidRDefault="00543F3C" w:rsidP="00543F3C">
      <w:r>
        <w:t xml:space="preserve">Avant le démarrage, il faudra que tous vos encaissements soient saisis sur </w:t>
      </w:r>
      <w:r w:rsidR="00C416A3" w:rsidRPr="00C416A3">
        <w:t>IGANET</w:t>
      </w:r>
      <w:r>
        <w:t>. Il faudra également que toute la facturation clients soit finalisée.</w:t>
      </w:r>
    </w:p>
    <w:p w:rsidR="00543F3C" w:rsidRPr="00543F3C" w:rsidRDefault="00543F3C" w:rsidP="00543F3C"/>
    <w:p w:rsidR="002C6846" w:rsidRDefault="00356FC7" w:rsidP="00752148">
      <w:r>
        <w:t xml:space="preserve">Toutes les pièces non soldées de vos comptes clients seront importées dans votre application T-9. Le numéro de la pièce restera inchangé. Vous pourrez la retrouver dans </w:t>
      </w:r>
      <w:r w:rsidR="0028347F">
        <w:t>T-9</w:t>
      </w:r>
      <w:r>
        <w:t xml:space="preserve">. Le détail des prestations ne sera pas repris. </w:t>
      </w:r>
      <w:r w:rsidR="00764CBE">
        <w:t>Il y aura une prestation unique reprenant le solde de la pièce</w:t>
      </w:r>
      <w:r w:rsidR="000B3DE1">
        <w:t xml:space="preserve"> (</w:t>
      </w:r>
      <w:r w:rsidR="000B3DE1" w:rsidRPr="000B3DE1">
        <w:t>Cette méthode de reprise de données correspond à une</w:t>
      </w:r>
      <w:r w:rsidR="000B3DE1">
        <w:t xml:space="preserve"> reprise d’à nouveaux détaillée)</w:t>
      </w:r>
      <w:r w:rsidR="00764CBE">
        <w:t>.</w:t>
      </w:r>
      <w:r w:rsidR="0085742F">
        <w:t xml:space="preserve"> Vos arriérés seront disponibles dans votre application T-9</w:t>
      </w:r>
      <w:r w:rsidR="007F7B42">
        <w:t xml:space="preserve"> à compter </w:t>
      </w:r>
      <w:r w:rsidR="002A6BA7">
        <w:t>de la deuxième semaine suivant le démarrage</w:t>
      </w:r>
      <w:r w:rsidR="0085742F">
        <w:t xml:space="preserve">. </w:t>
      </w:r>
    </w:p>
    <w:p w:rsidR="007F7B42" w:rsidRDefault="007F7B42" w:rsidP="00752148"/>
    <w:p w:rsidR="00752148" w:rsidRDefault="00B2202A" w:rsidP="00752148">
      <w:r>
        <w:t>Plus aucune modif</w:t>
      </w:r>
      <w:r w:rsidR="008E7485">
        <w:t xml:space="preserve">ication (côté client) </w:t>
      </w:r>
      <w:r>
        <w:t xml:space="preserve">ne </w:t>
      </w:r>
      <w:r w:rsidR="007F7B42">
        <w:t>pourra</w:t>
      </w:r>
      <w:r>
        <w:t xml:space="preserve"> être effectuée sur </w:t>
      </w:r>
      <w:r w:rsidR="00C416A3" w:rsidRPr="00C416A3">
        <w:t xml:space="preserve">IGANET </w:t>
      </w:r>
      <w:r>
        <w:t xml:space="preserve">à partir du </w:t>
      </w:r>
      <w:r w:rsidR="008E7485">
        <w:t>« </w:t>
      </w:r>
      <w:r w:rsidR="0071265E">
        <w:t>30/06</w:t>
      </w:r>
      <w:r w:rsidR="00222FBA">
        <w:t>/20</w:t>
      </w:r>
      <w:r w:rsidR="00902D84">
        <w:t xml:space="preserve"> </w:t>
      </w:r>
      <w:r w:rsidR="008E7485">
        <w:t>00h00 »</w:t>
      </w:r>
      <w:r w:rsidR="007F7B42">
        <w:t xml:space="preserve"> (un blocage de l’application sera effectué)</w:t>
      </w:r>
      <w:r w:rsidR="008E7485">
        <w:t> :</w:t>
      </w:r>
    </w:p>
    <w:p w:rsidR="008E7485" w:rsidRDefault="008E7485" w:rsidP="00C416A3">
      <w:pPr>
        <w:pStyle w:val="Paragraphedeliste"/>
        <w:numPr>
          <w:ilvl w:val="0"/>
          <w:numId w:val="28"/>
        </w:numPr>
      </w:pPr>
      <w:r>
        <w:t xml:space="preserve">Aucun encaissement ne </w:t>
      </w:r>
      <w:r w:rsidR="007F7B42">
        <w:t>pourra</w:t>
      </w:r>
      <w:r>
        <w:t xml:space="preserve"> être saisi sur </w:t>
      </w:r>
      <w:r w:rsidR="00C416A3" w:rsidRPr="00C416A3">
        <w:t>IGANET</w:t>
      </w:r>
      <w:r>
        <w:t>. Ils devront tous être saisis sur T-9.</w:t>
      </w:r>
    </w:p>
    <w:p w:rsidR="008E7485" w:rsidRDefault="008E7485" w:rsidP="00C416A3">
      <w:pPr>
        <w:pStyle w:val="Paragraphedeliste"/>
        <w:numPr>
          <w:ilvl w:val="0"/>
          <w:numId w:val="28"/>
        </w:numPr>
      </w:pPr>
      <w:r>
        <w:t xml:space="preserve">Aucune facture client ne </w:t>
      </w:r>
      <w:r w:rsidR="007F7B42">
        <w:t>pourra</w:t>
      </w:r>
      <w:r>
        <w:t xml:space="preserve"> être saisie sur </w:t>
      </w:r>
      <w:r w:rsidR="00C416A3" w:rsidRPr="00C416A3">
        <w:t>IGANET</w:t>
      </w:r>
      <w:r>
        <w:t>. Elles devront toutes être crées sur T-9.</w:t>
      </w:r>
    </w:p>
    <w:p w:rsidR="0028037D" w:rsidRPr="00284358" w:rsidRDefault="0028037D" w:rsidP="0028037D">
      <w:pPr>
        <w:pStyle w:val="Titre1"/>
        <w:numPr>
          <w:ilvl w:val="0"/>
          <w:numId w:val="1"/>
        </w:numPr>
        <w:ind w:left="431" w:hanging="431"/>
      </w:pPr>
      <w:bookmarkStart w:id="6" w:name="_Toc39572946"/>
      <w:bookmarkStart w:id="7" w:name="_Toc44064713"/>
      <w:r w:rsidRPr="00284358">
        <w:t>Gestion des BI en cours</w:t>
      </w:r>
      <w:bookmarkEnd w:id="6"/>
      <w:bookmarkEnd w:id="7"/>
    </w:p>
    <w:p w:rsidR="0028037D" w:rsidRDefault="0028037D" w:rsidP="0028037D">
      <w:r>
        <w:t xml:space="preserve">Les bulletins d’inscription en cours ne sont pas repris sur T9. Vous avez toujours accès à IGANET, ou au CRM, afin de pouvoir les consulter et les rééditer. </w:t>
      </w:r>
    </w:p>
    <w:p w:rsidR="0028037D" w:rsidRDefault="0028037D" w:rsidP="0028037D">
      <w:r>
        <w:t xml:space="preserve">A compter du démarrage sur T9, toute la facturation de ces BI devra être effectuée sur T9. La saisie des acomptes et des soldes devra également être effectuée sur T9. </w:t>
      </w:r>
    </w:p>
    <w:p w:rsidR="0028037D" w:rsidRDefault="0028037D" w:rsidP="0028037D">
      <w:r>
        <w:t>Si un client souhaite réaliser une modification d’un BI déjà présent sur IGANET/CRM : effectuez la modification sur IGANET/CRM afin de pouvoir l’éditer et le faire signer par votre client. Par ailleurs, aucun acompte ne devra être saisi sur IGANET/CRM. Ils devront être saisis sur T9. Si besoin, vous avez la possibilité d’éditer un reçu d’acompte depuis T9. La facturation devra également être effectuée sur T9.</w:t>
      </w:r>
    </w:p>
    <w:p w:rsidR="0028037D" w:rsidRDefault="0028037D" w:rsidP="0028037D">
      <w:pPr>
        <w:pStyle w:val="Titre1"/>
        <w:numPr>
          <w:ilvl w:val="0"/>
          <w:numId w:val="1"/>
        </w:numPr>
        <w:ind w:left="431" w:hanging="431"/>
      </w:pPr>
      <w:bookmarkStart w:id="8" w:name="_Toc39572947"/>
      <w:bookmarkStart w:id="9" w:name="_Toc44064714"/>
      <w:r>
        <w:t>Production</w:t>
      </w:r>
      <w:bookmarkEnd w:id="8"/>
      <w:bookmarkEnd w:id="9"/>
    </w:p>
    <w:p w:rsidR="0028037D" w:rsidRDefault="0028037D" w:rsidP="0028037D">
      <w:r>
        <w:t xml:space="preserve">Les dossiers « Production » ne sont pas repris sur votre application T-9. </w:t>
      </w:r>
    </w:p>
    <w:p w:rsidR="0028037D" w:rsidRDefault="0028037D" w:rsidP="0028037D"/>
    <w:p w:rsidR="0028037D" w:rsidRDefault="0028037D" w:rsidP="0028037D">
      <w:r>
        <w:t xml:space="preserve">Vous pouvez créer un nouveau dossier production sur T9 afin de finaliser la saisie de vos ventes, de vos encaissements client et de vos achats. Le calcul de la marge sera effectuée manuellement en recoupant les achats et les ventes saisis sur les dossiers </w:t>
      </w:r>
      <w:r w:rsidRPr="00C416A3">
        <w:t xml:space="preserve">IGANET </w:t>
      </w:r>
      <w:r>
        <w:t>et T9. La régularisation de la marge sera effectuée directement en comptabilité.</w:t>
      </w:r>
    </w:p>
    <w:p w:rsidR="00071C90" w:rsidRDefault="00543F3C" w:rsidP="00933F8D">
      <w:pPr>
        <w:pStyle w:val="Titre1"/>
      </w:pPr>
      <w:bookmarkStart w:id="10" w:name="_Toc44064715"/>
      <w:r>
        <w:t>Fournisseurs</w:t>
      </w:r>
      <w:bookmarkEnd w:id="10"/>
    </w:p>
    <w:p w:rsidR="00C75835" w:rsidRDefault="00C75835" w:rsidP="00E30A56">
      <w:r>
        <w:t xml:space="preserve">Tous les achats saisis sur </w:t>
      </w:r>
      <w:r w:rsidR="00C416A3" w:rsidRPr="00C416A3">
        <w:t xml:space="preserve">IGANET </w:t>
      </w:r>
      <w:r>
        <w:t xml:space="preserve">devront être finalisés sur </w:t>
      </w:r>
      <w:r w:rsidR="00C416A3" w:rsidRPr="00C416A3">
        <w:t>IGANET</w:t>
      </w:r>
      <w:r>
        <w:t>:</w:t>
      </w:r>
    </w:p>
    <w:p w:rsidR="00C75835" w:rsidRDefault="00C75835" w:rsidP="00C75835">
      <w:pPr>
        <w:pStyle w:val="Paragraphedeliste"/>
        <w:numPr>
          <w:ilvl w:val="0"/>
          <w:numId w:val="30"/>
        </w:numPr>
      </w:pPr>
      <w:r>
        <w:t>Pointage des fournisseurs.</w:t>
      </w:r>
    </w:p>
    <w:p w:rsidR="00C75835" w:rsidRDefault="00C75835" w:rsidP="00C75835">
      <w:pPr>
        <w:pStyle w:val="Paragraphedeliste"/>
        <w:numPr>
          <w:ilvl w:val="0"/>
          <w:numId w:val="30"/>
        </w:numPr>
      </w:pPr>
      <w:r>
        <w:t>Règlements fournisseurs.</w:t>
      </w:r>
    </w:p>
    <w:p w:rsidR="00C75835" w:rsidRDefault="00C75835" w:rsidP="00E30A56">
      <w:r>
        <w:t>Vous ne devez plus saisir de nouveau</w:t>
      </w:r>
      <w:r w:rsidR="00485A36">
        <w:t xml:space="preserve">x achats sur </w:t>
      </w:r>
      <w:r w:rsidR="00C416A3" w:rsidRPr="00C416A3">
        <w:t>IGANET</w:t>
      </w:r>
      <w:r w:rsidR="00485A36">
        <w:t>.</w:t>
      </w:r>
    </w:p>
    <w:p w:rsidR="006B2B49" w:rsidRDefault="006B2B49" w:rsidP="00933F8D">
      <w:pPr>
        <w:pStyle w:val="Titre1"/>
      </w:pPr>
      <w:bookmarkStart w:id="11" w:name="_Toc44064716"/>
      <w:r>
        <w:t>Bordereau de remise en banque</w:t>
      </w:r>
      <w:bookmarkEnd w:id="11"/>
    </w:p>
    <w:p w:rsidR="006B2B49" w:rsidRDefault="00D4100E" w:rsidP="006B2B49">
      <w:r>
        <w:t>Les</w:t>
      </w:r>
      <w:r w:rsidR="006B2B49">
        <w:t xml:space="preserve"> bordereaux de remises en banque </w:t>
      </w:r>
      <w:r>
        <w:t>que vous n’avez pas générés seront déclenchés par IGA au moment de la comptabilisation clients</w:t>
      </w:r>
      <w:r w:rsidR="006B2B49">
        <w:t xml:space="preserve">. </w:t>
      </w:r>
    </w:p>
    <w:p w:rsidR="00691AB4" w:rsidRDefault="00691AB4" w:rsidP="006B2B49"/>
    <w:p w:rsidR="00691AB4" w:rsidRDefault="00691AB4" w:rsidP="006B2B49">
      <w:r>
        <w:t xml:space="preserve">Vous ne </w:t>
      </w:r>
      <w:r w:rsidR="00D4100E">
        <w:t>pourrez</w:t>
      </w:r>
      <w:r>
        <w:t xml:space="preserve"> plus saisir de nouveaux encaissements clients sur </w:t>
      </w:r>
      <w:r w:rsidR="00C416A3" w:rsidRPr="00C416A3">
        <w:t>IGANET</w:t>
      </w:r>
      <w:r>
        <w:t>.</w:t>
      </w:r>
    </w:p>
    <w:p w:rsidR="006B2B49" w:rsidRPr="006B2B49" w:rsidRDefault="006B2B49" w:rsidP="00933F8D">
      <w:pPr>
        <w:pStyle w:val="Titre1"/>
      </w:pPr>
      <w:bookmarkStart w:id="12" w:name="_Toc44064717"/>
      <w:r>
        <w:lastRenderedPageBreak/>
        <w:t>Comptabilité</w:t>
      </w:r>
      <w:bookmarkEnd w:id="12"/>
    </w:p>
    <w:p w:rsidR="00E30A56" w:rsidRDefault="00E30A56" w:rsidP="00E30A56">
      <w:r>
        <w:t xml:space="preserve">La reprise des données comptables intervient </w:t>
      </w:r>
      <w:r w:rsidR="006B2B49">
        <w:t>après le démarrage. C’est vous qui nous indiquerez la</w:t>
      </w:r>
      <w:r w:rsidR="00874894">
        <w:t xml:space="preserve"> date à</w:t>
      </w:r>
      <w:r w:rsidR="006B2B49">
        <w:t xml:space="preserve"> laquelle vous souhaitez effectuer l’import de la comptabilité dans T9. Vous devrez avoir </w:t>
      </w:r>
      <w:r w:rsidR="00D4100E">
        <w:t>terminé</w:t>
      </w:r>
      <w:r w:rsidR="006B2B49">
        <w:t xml:space="preserve"> la </w:t>
      </w:r>
      <w:r w:rsidR="00D4100E">
        <w:t>gestion de vos achats</w:t>
      </w:r>
      <w:r w:rsidR="006B2B49">
        <w:t xml:space="preserve"> fournisseurs </w:t>
      </w:r>
      <w:r w:rsidR="00D4100E">
        <w:t xml:space="preserve">(ou quasiment finalisé) </w:t>
      </w:r>
      <w:r w:rsidR="006B2B49">
        <w:t>et toutes vos saisies manuelle</w:t>
      </w:r>
      <w:r w:rsidR="007F1E11">
        <w:t>s</w:t>
      </w:r>
      <w:r w:rsidR="006B2B49">
        <w:t xml:space="preserve"> en comptabilité.</w:t>
      </w:r>
    </w:p>
    <w:p w:rsidR="00185A34" w:rsidRDefault="00185A34" w:rsidP="00E30A56"/>
    <w:p w:rsidR="00185A34" w:rsidRDefault="005F5848" w:rsidP="00E30A56">
      <w:r>
        <w:t>L</w:t>
      </w:r>
      <w:r w:rsidR="00185A34">
        <w:t xml:space="preserve">’intégralité des écritures de l’exercice en cours </w:t>
      </w:r>
      <w:r>
        <w:t xml:space="preserve">est importée dans la comptabilité T-9. </w:t>
      </w:r>
      <w:r w:rsidR="00ED707B">
        <w:t>L</w:t>
      </w:r>
      <w:r w:rsidR="00185A34">
        <w:t>e</w:t>
      </w:r>
      <w:r w:rsidR="00ED707B">
        <w:t>s reports à nouveau des exercices précédents</w:t>
      </w:r>
      <w:r w:rsidR="00BE1385">
        <w:t>,</w:t>
      </w:r>
      <w:r w:rsidR="00ED707B">
        <w:t xml:space="preserve"> ainsi que le</w:t>
      </w:r>
      <w:r w:rsidR="00185A34">
        <w:t xml:space="preserve"> détail des </w:t>
      </w:r>
      <w:r w:rsidR="00ED707B">
        <w:t>écritures associées</w:t>
      </w:r>
      <w:r w:rsidR="00BE1385">
        <w:t>,</w:t>
      </w:r>
      <w:r w:rsidR="00185A34">
        <w:t xml:space="preserve"> </w:t>
      </w:r>
      <w:r w:rsidR="00BE1385">
        <w:t>sont</w:t>
      </w:r>
      <w:r w:rsidR="00ED707B">
        <w:t xml:space="preserve"> également intégré</w:t>
      </w:r>
      <w:r w:rsidR="00BE1385">
        <w:t>s</w:t>
      </w:r>
      <w:r w:rsidR="00ED707B">
        <w:t xml:space="preserve"> à la comptabilité T-9.</w:t>
      </w:r>
    </w:p>
    <w:p w:rsidR="00013140" w:rsidRDefault="00013140" w:rsidP="00013140">
      <w:pPr>
        <w:pStyle w:val="Titre1"/>
      </w:pPr>
      <w:bookmarkStart w:id="13" w:name="_Toc44064718"/>
      <w:r>
        <w:t>FAQ</w:t>
      </w:r>
      <w:bookmarkEnd w:id="13"/>
    </w:p>
    <w:p w:rsidR="00013140" w:rsidRDefault="00013140" w:rsidP="00013140">
      <w:r w:rsidRPr="002061A9">
        <w:t>Une FAQ a été mise en place à l’adresse suivante, n’hésitez pas à la consulter</w:t>
      </w:r>
      <w:r>
        <w:t> :</w:t>
      </w:r>
    </w:p>
    <w:p w:rsidR="00013140" w:rsidRDefault="006D2EDA" w:rsidP="00013140">
      <w:hyperlink r:id="rId10" w:history="1">
        <w:r w:rsidR="00013140">
          <w:rPr>
            <w:rStyle w:val="Lienhypertexte"/>
          </w:rPr>
          <w:t>http://www.iga.fr/logiciel-agence-de-voyage/2705-2/</w:t>
        </w:r>
      </w:hyperlink>
      <w:r w:rsidR="00013140">
        <w:t xml:space="preserve">. </w:t>
      </w:r>
    </w:p>
    <w:p w:rsidR="00013140" w:rsidRPr="00013140" w:rsidRDefault="00013140" w:rsidP="00013140"/>
    <w:p w:rsidR="00521DD0" w:rsidRDefault="00521DD0" w:rsidP="00521DD0"/>
    <w:sectPr w:rsidR="00521DD0" w:rsidSect="00A37B77">
      <w:headerReference w:type="defaul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EDA" w:rsidRDefault="006D2EDA" w:rsidP="00052189">
      <w:r>
        <w:separator/>
      </w:r>
    </w:p>
  </w:endnote>
  <w:endnote w:type="continuationSeparator" w:id="0">
    <w:p w:rsidR="006D2EDA" w:rsidRDefault="006D2EDA" w:rsidP="00052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EDA" w:rsidRDefault="006D2EDA" w:rsidP="00052189">
      <w:r>
        <w:separator/>
      </w:r>
    </w:p>
  </w:footnote>
  <w:footnote w:type="continuationSeparator" w:id="0">
    <w:p w:rsidR="006D2EDA" w:rsidRDefault="006D2EDA" w:rsidP="000521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69B" w:rsidRDefault="004B1F90" w:rsidP="00052189">
    <w:pPr>
      <w:pStyle w:val="En-tte"/>
    </w:pPr>
    <w:r>
      <w:rPr>
        <w:noProof/>
      </w:rPr>
      <w:drawing>
        <wp:anchor distT="0" distB="0" distL="114300" distR="114300" simplePos="0" relativeHeight="251661312" behindDoc="0" locked="0" layoutInCell="1" allowOverlap="1" wp14:anchorId="72133904" wp14:editId="667F3D45">
          <wp:simplePos x="0" y="0"/>
          <wp:positionH relativeFrom="column">
            <wp:posOffset>5588965</wp:posOffset>
          </wp:positionH>
          <wp:positionV relativeFrom="paragraph">
            <wp:posOffset>-367030</wp:posOffset>
          </wp:positionV>
          <wp:extent cx="1436370" cy="73025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GA Voyage .png"/>
                  <pic:cNvPicPr/>
                </pic:nvPicPr>
                <pic:blipFill>
                  <a:blip r:embed="rId1">
                    <a:extLst>
                      <a:ext uri="{28A0092B-C50C-407E-A947-70E740481C1C}">
                        <a14:useLocalDpi xmlns:a14="http://schemas.microsoft.com/office/drawing/2010/main" val="0"/>
                      </a:ext>
                    </a:extLst>
                  </a:blip>
                  <a:stretch>
                    <a:fillRect/>
                  </a:stretch>
                </pic:blipFill>
                <pic:spPr>
                  <a:xfrm>
                    <a:off x="0" y="0"/>
                    <a:ext cx="1436370" cy="730250"/>
                  </a:xfrm>
                  <a:prstGeom prst="rect">
                    <a:avLst/>
                  </a:prstGeom>
                </pic:spPr>
              </pic:pic>
            </a:graphicData>
          </a:graphic>
          <wp14:sizeRelH relativeFrom="margin">
            <wp14:pctWidth>0</wp14:pctWidth>
          </wp14:sizeRelH>
          <wp14:sizeRelV relativeFrom="margin">
            <wp14:pctHeight>0</wp14:pctHeight>
          </wp14:sizeRelV>
        </wp:anchor>
      </w:drawing>
    </w:r>
    <w:r w:rsidR="00BB069B">
      <w:rPr>
        <w:noProof/>
      </w:rPr>
      <mc:AlternateContent>
        <mc:Choice Requires="wps">
          <w:drawing>
            <wp:anchor distT="0" distB="0" distL="114300" distR="114300" simplePos="0" relativeHeight="251660288" behindDoc="0" locked="0" layoutInCell="0" allowOverlap="1" wp14:anchorId="777F7F58" wp14:editId="714542D6">
              <wp:simplePos x="0" y="0"/>
              <wp:positionH relativeFrom="margin">
                <wp:align>left</wp:align>
              </wp:positionH>
              <wp:positionV relativeFrom="topMargin">
                <wp:align>center</wp:align>
              </wp:positionV>
              <wp:extent cx="5943600" cy="170815"/>
              <wp:effectExtent l="0" t="0" r="0" b="1905"/>
              <wp:wrapNone/>
              <wp:docPr id="473" name="Zone de texte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69B" w:rsidRPr="004E3F44" w:rsidRDefault="00577ECA" w:rsidP="00052189">
                          <w:pPr>
                            <w:rPr>
                              <w:b/>
                              <w:color w:val="548DD4" w:themeColor="text2" w:themeTint="99"/>
                            </w:rPr>
                          </w:pPr>
                          <w:r>
                            <w:rPr>
                              <w:b/>
                              <w:color w:val="548DD4" w:themeColor="text2" w:themeTint="99"/>
                            </w:rPr>
                            <w:t xml:space="preserve">Procédure de migration T-9 </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77F7F58" id="_x0000_t202" coordsize="21600,21600" o:spt="202" path="m,l,21600r21600,l21600,xe">
              <v:stroke joinstyle="miter"/>
              <v:path gradientshapeok="t" o:connecttype="rect"/>
            </v:shapetype>
            <v:shape id="Zone de texte 473"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" o:allowincell="f" filled="f" stroked="f">
              <v:textbox style="mso-fit-shape-to-text:t" inset=",0,,0">
                <w:txbxContent>
                  <w:p w:rsidR="00BB069B" w:rsidRPr="004E3F44" w:rsidRDefault="00577ECA" w:rsidP="00052189">
                    <w:pPr>
                      <w:rPr>
                        <w:b/>
                        <w:color w:val="548DD4" w:themeColor="text2" w:themeTint="99"/>
                      </w:rPr>
                    </w:pPr>
                    <w:r>
                      <w:rPr>
                        <w:b/>
                        <w:color w:val="548DD4" w:themeColor="text2" w:themeTint="99"/>
                      </w:rPr>
                      <w:t xml:space="preserve">Procédure de migration T-9 </w:t>
                    </w:r>
                  </w:p>
                </w:txbxContent>
              </v:textbox>
              <w10:wrap anchorx="margin" anchory="margin"/>
            </v:shape>
          </w:pict>
        </mc:Fallback>
      </mc:AlternateContent>
    </w:r>
    <w:r w:rsidR="00BB069B">
      <w:rPr>
        <w:noProof/>
      </w:rPr>
      <mc:AlternateContent>
        <mc:Choice Requires="wps">
          <w:drawing>
            <wp:anchor distT="0" distB="0" distL="114300" distR="114300" simplePos="0" relativeHeight="251659264" behindDoc="0" locked="0" layoutInCell="0" allowOverlap="1" wp14:anchorId="0921ECEE" wp14:editId="758B0A33">
              <wp:simplePos x="0" y="0"/>
              <wp:positionH relativeFrom="page">
                <wp:align>left</wp:align>
              </wp:positionH>
              <wp:positionV relativeFrom="topMargin">
                <wp:align>center</wp:align>
              </wp:positionV>
              <wp:extent cx="914400" cy="170815"/>
              <wp:effectExtent l="0" t="0" r="0" b="635"/>
              <wp:wrapNone/>
              <wp:docPr id="474" name="Zone de texte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tx2">
                          <a:lumMod val="60000"/>
                          <a:lumOff val="40000"/>
                        </a:schemeClr>
                      </a:solidFill>
                      <a:extLst/>
                    </wps:spPr>
                    <wps:txbx>
                      <w:txbxContent>
                        <w:p w:rsidR="00BB069B" w:rsidRPr="00064CFF" w:rsidRDefault="00BB069B" w:rsidP="00052189">
                          <w:pPr>
                            <w:jc w:val="right"/>
                            <w:rPr>
                              <w:b/>
                              <w:color w:val="FFFFFF" w:themeColor="background1"/>
                              <w14:numForm w14:val="lining"/>
                            </w:rPr>
                          </w:pPr>
                          <w:r w:rsidRPr="004E3F44">
                            <w:rPr>
                              <w:b/>
                              <w:color w:val="FFFFFF" w:themeColor="background1"/>
                              <w14:numForm w14:val="lining"/>
                            </w:rPr>
                            <w:fldChar w:fldCharType="begin"/>
                          </w:r>
                          <w:r w:rsidRPr="004E3F44">
                            <w:rPr>
                              <w:b/>
                              <w:color w:val="FFFFFF" w:themeColor="background1"/>
                              <w14:numForm w14:val="lining"/>
                            </w:rPr>
                            <w:instrText>PAGE   \* MERGEFORMAT</w:instrText>
                          </w:r>
                          <w:r w:rsidRPr="004E3F44">
                            <w:rPr>
                              <w:b/>
                              <w:color w:val="FFFFFF" w:themeColor="background1"/>
                              <w14:numForm w14:val="lining"/>
                            </w:rPr>
                            <w:fldChar w:fldCharType="separate"/>
                          </w:r>
                          <w:r w:rsidR="00BF2345">
                            <w:rPr>
                              <w:b/>
                              <w:noProof/>
                              <w:color w:val="FFFFFF" w:themeColor="background1"/>
                              <w14:numForm w14:val="lining"/>
                            </w:rPr>
                            <w:t>4</w:t>
                          </w:r>
                          <w:r w:rsidRPr="004E3F44">
                            <w:rPr>
                              <w:b/>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0921ECEE" id="Zone de texte 474"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" o:allowincell="f" fillcolor="#548dd4 [1951]" stroked="f">
              <v:textbox style="mso-fit-shape-to-text:t" inset=",0,,0">
                <w:txbxContent>
                  <w:p w:rsidR="00BB069B" w:rsidRPr="00064CFF" w:rsidRDefault="00BB069B" w:rsidP="00052189">
                    <w:pPr>
                      <w:jc w:val="right"/>
                      <w:rPr>
                        <w:b/>
                        <w:color w:val="FFFFFF" w:themeColor="background1"/>
                        <w14:numForm w14:val="lining"/>
                      </w:rPr>
                    </w:pPr>
                    <w:r w:rsidRPr="004E3F44">
                      <w:rPr>
                        <w:b/>
                        <w:color w:val="FFFFFF" w:themeColor="background1"/>
                        <w14:numForm w14:val="lining"/>
                      </w:rPr>
                      <w:fldChar w:fldCharType="begin"/>
                    </w:r>
                    <w:r w:rsidRPr="004E3F44">
                      <w:rPr>
                        <w:b/>
                        <w:color w:val="FFFFFF" w:themeColor="background1"/>
                        <w14:numForm w14:val="lining"/>
                      </w:rPr>
                      <w:instrText>PAGE   \* MERGEFORMAT</w:instrText>
                    </w:r>
                    <w:r w:rsidRPr="004E3F44">
                      <w:rPr>
                        <w:b/>
                        <w:color w:val="FFFFFF" w:themeColor="background1"/>
                        <w14:numForm w14:val="lining"/>
                      </w:rPr>
                      <w:fldChar w:fldCharType="separate"/>
                    </w:r>
                    <w:r w:rsidR="00BF2345">
                      <w:rPr>
                        <w:b/>
                        <w:noProof/>
                        <w:color w:val="FFFFFF" w:themeColor="background1"/>
                        <w14:numForm w14:val="lining"/>
                      </w:rPr>
                      <w:t>4</w:t>
                    </w:r>
                    <w:r w:rsidRPr="004E3F44">
                      <w:rPr>
                        <w:b/>
                        <w:color w:val="FFFFFF" w:themeColor="background1"/>
                        <w14:numForm w14:val="lining"/>
                      </w:rPr>
                      <w:fldChar w:fldCharType="end"/>
                    </w:r>
                  </w:p>
                </w:txbxContent>
              </v:textbox>
              <w10:wrap anchorx="page" anchory="margin"/>
            </v:shape>
          </w:pict>
        </mc:Fallback>
      </mc:AlternateContent>
    </w:r>
  </w:p>
  <w:p w:rsidR="00BB069B" w:rsidRDefault="00BB069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0A28"/>
    <w:multiLevelType w:val="multilevel"/>
    <w:tmpl w:val="A92A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305FD"/>
    <w:multiLevelType w:val="hybridMultilevel"/>
    <w:tmpl w:val="C7DCD532"/>
    <w:lvl w:ilvl="0" w:tplc="BFF24E2A">
      <w:start w:val="1"/>
      <w:numFmt w:val="bullet"/>
      <w:lvlText w:val=""/>
      <w:lvlJc w:val="left"/>
      <w:pPr>
        <w:ind w:left="720" w:hanging="360"/>
      </w:pPr>
      <w:rPr>
        <w:rFonts w:ascii="Symbol" w:hAnsi="Symbol" w:hint="default"/>
        <w:spacing w:val="0"/>
        <w:kern w:val="0"/>
        <w:position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0A029B"/>
    <w:multiLevelType w:val="hybridMultilevel"/>
    <w:tmpl w:val="5E66D91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C17EFE"/>
    <w:multiLevelType w:val="multilevel"/>
    <w:tmpl w:val="74BEFE5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11069"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lvlText w:val="%1.%2.%3.%4.%5.%6.%7.%8"/>
      <w:lvlJc w:val="left"/>
      <w:pPr>
        <w:ind w:left="1440" w:hanging="1440"/>
      </w:pPr>
    </w:lvl>
    <w:lvl w:ilvl="8">
      <w:start w:val="1"/>
      <w:numFmt w:val="decimal"/>
      <w:pStyle w:val="Titre9"/>
      <w:lvlText w:val="%1.%2.%3.%4.%5.%6.%7.%8.%9"/>
      <w:lvlJc w:val="left"/>
      <w:pPr>
        <w:ind w:left="1584" w:hanging="1584"/>
      </w:pPr>
    </w:lvl>
  </w:abstractNum>
  <w:abstractNum w:abstractNumId="4" w15:restartNumberingAfterBreak="0">
    <w:nsid w:val="2271767E"/>
    <w:multiLevelType w:val="multilevel"/>
    <w:tmpl w:val="1BD4F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AF598C"/>
    <w:multiLevelType w:val="hybridMultilevel"/>
    <w:tmpl w:val="1DD6014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3966F20"/>
    <w:multiLevelType w:val="hybridMultilevel"/>
    <w:tmpl w:val="FAFACC6C"/>
    <w:lvl w:ilvl="0" w:tplc="040C0001">
      <w:start w:val="1"/>
      <w:numFmt w:val="bullet"/>
      <w:lvlText w:val=""/>
      <w:lvlJc w:val="left"/>
      <w:pPr>
        <w:ind w:left="360" w:hanging="360"/>
      </w:pPr>
      <w:rPr>
        <w:rFonts w:ascii="Symbol" w:hAnsi="Symbol" w:hint="default"/>
        <w:spacing w:val="0"/>
        <w:kern w:val="0"/>
        <w:position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4725146"/>
    <w:multiLevelType w:val="hybridMultilevel"/>
    <w:tmpl w:val="3F26FCC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544014"/>
    <w:multiLevelType w:val="hybridMultilevel"/>
    <w:tmpl w:val="1696C4E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816DEE"/>
    <w:multiLevelType w:val="hybridMultilevel"/>
    <w:tmpl w:val="3F6459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45612DE"/>
    <w:multiLevelType w:val="hybridMultilevel"/>
    <w:tmpl w:val="653AEDBA"/>
    <w:lvl w:ilvl="0" w:tplc="040C000B">
      <w:start w:val="1"/>
      <w:numFmt w:val="bullet"/>
      <w:lvlText w:val=""/>
      <w:lvlJc w:val="left"/>
      <w:pPr>
        <w:ind w:left="360" w:hanging="360"/>
      </w:pPr>
      <w:rPr>
        <w:rFonts w:ascii="Wingdings" w:hAnsi="Wingdings" w:hint="default"/>
      </w:rPr>
    </w:lvl>
    <w:lvl w:ilvl="1" w:tplc="BFF24E2A">
      <w:start w:val="1"/>
      <w:numFmt w:val="bullet"/>
      <w:lvlText w:val=""/>
      <w:lvlJc w:val="left"/>
      <w:pPr>
        <w:ind w:left="1080" w:hanging="360"/>
      </w:pPr>
      <w:rPr>
        <w:rFonts w:ascii="Symbol" w:hAnsi="Symbol" w:hint="default"/>
        <w:spacing w:val="0"/>
        <w:kern w:val="0"/>
        <w:position w:val="0"/>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6EF1BFD"/>
    <w:multiLevelType w:val="hybridMultilevel"/>
    <w:tmpl w:val="E8EC38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E4941D1"/>
    <w:multiLevelType w:val="hybridMultilevel"/>
    <w:tmpl w:val="687E1EA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EAC12D3"/>
    <w:multiLevelType w:val="hybridMultilevel"/>
    <w:tmpl w:val="D6AE8B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01E0BE5"/>
    <w:multiLevelType w:val="hybridMultilevel"/>
    <w:tmpl w:val="13FCEC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0F2D30"/>
    <w:multiLevelType w:val="hybridMultilevel"/>
    <w:tmpl w:val="47F280D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6026CA0"/>
    <w:multiLevelType w:val="hybridMultilevel"/>
    <w:tmpl w:val="10DC4D1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4DA274E8"/>
    <w:multiLevelType w:val="hybridMultilevel"/>
    <w:tmpl w:val="54AEEC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F733BA9"/>
    <w:multiLevelType w:val="hybridMultilevel"/>
    <w:tmpl w:val="A468B2D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0FC1EB5"/>
    <w:multiLevelType w:val="hybridMultilevel"/>
    <w:tmpl w:val="40B035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AC759F"/>
    <w:multiLevelType w:val="hybridMultilevel"/>
    <w:tmpl w:val="2F8801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4A46D12"/>
    <w:multiLevelType w:val="hybridMultilevel"/>
    <w:tmpl w:val="415820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5A31309"/>
    <w:multiLevelType w:val="hybridMultilevel"/>
    <w:tmpl w:val="0BCCEDE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9CC40B6"/>
    <w:multiLevelType w:val="hybridMultilevel"/>
    <w:tmpl w:val="9A2E5132"/>
    <w:lvl w:ilvl="0" w:tplc="040C000B">
      <w:start w:val="1"/>
      <w:numFmt w:val="bullet"/>
      <w:lvlText w:val=""/>
      <w:lvlJc w:val="left"/>
      <w:pPr>
        <w:ind w:left="360" w:hanging="360"/>
      </w:pPr>
      <w:rPr>
        <w:rFonts w:ascii="Wingdings" w:hAnsi="Wingdings" w:hint="default"/>
      </w:rPr>
    </w:lvl>
    <w:lvl w:ilvl="1" w:tplc="040C0001">
      <w:start w:val="1"/>
      <w:numFmt w:val="bullet"/>
      <w:lvlText w:val=""/>
      <w:lvlJc w:val="left"/>
      <w:pPr>
        <w:ind w:left="1080" w:hanging="360"/>
      </w:pPr>
      <w:rPr>
        <w:rFonts w:ascii="Symbol" w:hAnsi="Symbol" w:hint="default"/>
        <w:spacing w:val="0"/>
        <w:kern w:val="0"/>
        <w:position w:val="0"/>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62150B51"/>
    <w:multiLevelType w:val="hybridMultilevel"/>
    <w:tmpl w:val="97F4D9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44F64EF"/>
    <w:multiLevelType w:val="hybridMultilevel"/>
    <w:tmpl w:val="E7CE7E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5B46EC6"/>
    <w:multiLevelType w:val="hybridMultilevel"/>
    <w:tmpl w:val="DF822C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053682B"/>
    <w:multiLevelType w:val="hybridMultilevel"/>
    <w:tmpl w:val="5C1403F8"/>
    <w:lvl w:ilvl="0" w:tplc="040C000B">
      <w:start w:val="1"/>
      <w:numFmt w:val="bullet"/>
      <w:lvlText w:val=""/>
      <w:lvlJc w:val="left"/>
      <w:pPr>
        <w:ind w:left="720" w:hanging="360"/>
      </w:pPr>
      <w:rPr>
        <w:rFonts w:ascii="Wingdings" w:hAnsi="Wingdings" w:hint="default"/>
      </w:rPr>
    </w:lvl>
    <w:lvl w:ilvl="1" w:tplc="A418CAF6">
      <w:numFmt w:val="bullet"/>
      <w:lvlText w:val="·"/>
      <w:lvlJc w:val="left"/>
      <w:pPr>
        <w:ind w:left="1590" w:hanging="510"/>
      </w:pPr>
      <w:rPr>
        <w:rFonts w:ascii="Calibri" w:eastAsia="Times New Roman" w:hAnsi="Calibri" w:cs="Helvetica" w:hint="default"/>
      </w:rPr>
    </w:lvl>
    <w:lvl w:ilvl="2" w:tplc="8D706D88">
      <w:numFmt w:val="bullet"/>
      <w:lvlText w:val=""/>
      <w:lvlJc w:val="left"/>
      <w:pPr>
        <w:ind w:left="2160" w:hanging="360"/>
      </w:pPr>
      <w:rPr>
        <w:rFonts w:ascii="Symbol" w:eastAsia="Times New Roman" w:hAnsi="Symbol"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0BE6CF2"/>
    <w:multiLevelType w:val="hybridMultilevel"/>
    <w:tmpl w:val="8550CF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1290606"/>
    <w:multiLevelType w:val="hybridMultilevel"/>
    <w:tmpl w:val="69A08E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3"/>
  </w:num>
  <w:num w:numId="3">
    <w:abstractNumId w:val="21"/>
  </w:num>
  <w:num w:numId="4">
    <w:abstractNumId w:val="20"/>
  </w:num>
  <w:num w:numId="5">
    <w:abstractNumId w:val="12"/>
  </w:num>
  <w:num w:numId="6">
    <w:abstractNumId w:val="16"/>
  </w:num>
  <w:num w:numId="7">
    <w:abstractNumId w:val="5"/>
  </w:num>
  <w:num w:numId="8">
    <w:abstractNumId w:val="27"/>
  </w:num>
  <w:num w:numId="9">
    <w:abstractNumId w:val="10"/>
  </w:num>
  <w:num w:numId="10">
    <w:abstractNumId w:val="13"/>
  </w:num>
  <w:num w:numId="11">
    <w:abstractNumId w:val="28"/>
  </w:num>
  <w:num w:numId="12">
    <w:abstractNumId w:val="7"/>
  </w:num>
  <w:num w:numId="13">
    <w:abstractNumId w:val="2"/>
  </w:num>
  <w:num w:numId="14">
    <w:abstractNumId w:val="14"/>
  </w:num>
  <w:num w:numId="15">
    <w:abstractNumId w:val="6"/>
  </w:num>
  <w:num w:numId="16">
    <w:abstractNumId w:val="1"/>
  </w:num>
  <w:num w:numId="17">
    <w:abstractNumId w:val="23"/>
  </w:num>
  <w:num w:numId="18">
    <w:abstractNumId w:val="25"/>
  </w:num>
  <w:num w:numId="19">
    <w:abstractNumId w:val="4"/>
  </w:num>
  <w:num w:numId="20">
    <w:abstractNumId w:val="0"/>
  </w:num>
  <w:num w:numId="21">
    <w:abstractNumId w:val="9"/>
  </w:num>
  <w:num w:numId="22">
    <w:abstractNumId w:val="19"/>
  </w:num>
  <w:num w:numId="23">
    <w:abstractNumId w:val="24"/>
  </w:num>
  <w:num w:numId="24">
    <w:abstractNumId w:val="17"/>
  </w:num>
  <w:num w:numId="25">
    <w:abstractNumId w:val="11"/>
  </w:num>
  <w:num w:numId="26">
    <w:abstractNumId w:val="15"/>
  </w:num>
  <w:num w:numId="27">
    <w:abstractNumId w:val="26"/>
  </w:num>
  <w:num w:numId="28">
    <w:abstractNumId w:val="8"/>
  </w:num>
  <w:num w:numId="29">
    <w:abstractNumId w:val="29"/>
  </w:num>
  <w:num w:numId="30">
    <w:abstractNumId w:val="18"/>
  </w:num>
  <w:num w:numId="31">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5E5"/>
    <w:rsid w:val="00000401"/>
    <w:rsid w:val="00006914"/>
    <w:rsid w:val="00013140"/>
    <w:rsid w:val="00015BD9"/>
    <w:rsid w:val="0002598A"/>
    <w:rsid w:val="00030FE0"/>
    <w:rsid w:val="00031BED"/>
    <w:rsid w:val="00037C90"/>
    <w:rsid w:val="00040B30"/>
    <w:rsid w:val="000425F1"/>
    <w:rsid w:val="00042D7D"/>
    <w:rsid w:val="00045483"/>
    <w:rsid w:val="00046445"/>
    <w:rsid w:val="00052189"/>
    <w:rsid w:val="00055CEA"/>
    <w:rsid w:val="00056638"/>
    <w:rsid w:val="000643D2"/>
    <w:rsid w:val="00064A5E"/>
    <w:rsid w:val="000659BB"/>
    <w:rsid w:val="00071C90"/>
    <w:rsid w:val="000772E8"/>
    <w:rsid w:val="00077A00"/>
    <w:rsid w:val="00077EB7"/>
    <w:rsid w:val="0008036F"/>
    <w:rsid w:val="000902D2"/>
    <w:rsid w:val="000902EF"/>
    <w:rsid w:val="00094FE9"/>
    <w:rsid w:val="00095152"/>
    <w:rsid w:val="000A0D2B"/>
    <w:rsid w:val="000A1329"/>
    <w:rsid w:val="000A15E1"/>
    <w:rsid w:val="000B3DE1"/>
    <w:rsid w:val="000B42CF"/>
    <w:rsid w:val="000B617E"/>
    <w:rsid w:val="000C232A"/>
    <w:rsid w:val="000C5B38"/>
    <w:rsid w:val="000D1ADE"/>
    <w:rsid w:val="000D39F4"/>
    <w:rsid w:val="000D78AC"/>
    <w:rsid w:val="000E2D1D"/>
    <w:rsid w:val="000F245E"/>
    <w:rsid w:val="000F3A91"/>
    <w:rsid w:val="000F5C40"/>
    <w:rsid w:val="000F64B1"/>
    <w:rsid w:val="00100703"/>
    <w:rsid w:val="00117F48"/>
    <w:rsid w:val="001235E5"/>
    <w:rsid w:val="001262D8"/>
    <w:rsid w:val="00131A55"/>
    <w:rsid w:val="001459AD"/>
    <w:rsid w:val="00145D17"/>
    <w:rsid w:val="001469C1"/>
    <w:rsid w:val="00147B17"/>
    <w:rsid w:val="00150F54"/>
    <w:rsid w:val="0015225D"/>
    <w:rsid w:val="0015248E"/>
    <w:rsid w:val="001532AD"/>
    <w:rsid w:val="00154F51"/>
    <w:rsid w:val="0016746E"/>
    <w:rsid w:val="001725F9"/>
    <w:rsid w:val="00185309"/>
    <w:rsid w:val="00185A34"/>
    <w:rsid w:val="0018748E"/>
    <w:rsid w:val="00187957"/>
    <w:rsid w:val="00191485"/>
    <w:rsid w:val="00191BB3"/>
    <w:rsid w:val="001A0DE0"/>
    <w:rsid w:val="001A3E10"/>
    <w:rsid w:val="001B29AA"/>
    <w:rsid w:val="001B42F9"/>
    <w:rsid w:val="001B7F50"/>
    <w:rsid w:val="001C1188"/>
    <w:rsid w:val="001C2056"/>
    <w:rsid w:val="001C4559"/>
    <w:rsid w:val="001C6D86"/>
    <w:rsid w:val="001C78B2"/>
    <w:rsid w:val="001D1D65"/>
    <w:rsid w:val="001E1488"/>
    <w:rsid w:val="001E35F5"/>
    <w:rsid w:val="001E3DC1"/>
    <w:rsid w:val="001E5B4D"/>
    <w:rsid w:val="001E7D33"/>
    <w:rsid w:val="001F0FB6"/>
    <w:rsid w:val="001F4625"/>
    <w:rsid w:val="001F55D3"/>
    <w:rsid w:val="001F6011"/>
    <w:rsid w:val="00205243"/>
    <w:rsid w:val="00214D56"/>
    <w:rsid w:val="00215CAB"/>
    <w:rsid w:val="00220962"/>
    <w:rsid w:val="00222FBA"/>
    <w:rsid w:val="0023058C"/>
    <w:rsid w:val="0023619E"/>
    <w:rsid w:val="00244D87"/>
    <w:rsid w:val="002452FD"/>
    <w:rsid w:val="002473AB"/>
    <w:rsid w:val="00257383"/>
    <w:rsid w:val="00260914"/>
    <w:rsid w:val="00261F90"/>
    <w:rsid w:val="0028037D"/>
    <w:rsid w:val="00282628"/>
    <w:rsid w:val="0028347F"/>
    <w:rsid w:val="00291601"/>
    <w:rsid w:val="002930E6"/>
    <w:rsid w:val="00293AAE"/>
    <w:rsid w:val="002A14E6"/>
    <w:rsid w:val="002A2515"/>
    <w:rsid w:val="002A2B31"/>
    <w:rsid w:val="002A5849"/>
    <w:rsid w:val="002A6BA7"/>
    <w:rsid w:val="002B361B"/>
    <w:rsid w:val="002B62EC"/>
    <w:rsid w:val="002C1B63"/>
    <w:rsid w:val="002C30DD"/>
    <w:rsid w:val="002C6846"/>
    <w:rsid w:val="002D4E6D"/>
    <w:rsid w:val="002D716C"/>
    <w:rsid w:val="002E66C6"/>
    <w:rsid w:val="002F083B"/>
    <w:rsid w:val="002F1574"/>
    <w:rsid w:val="002F4F50"/>
    <w:rsid w:val="003047C3"/>
    <w:rsid w:val="00305818"/>
    <w:rsid w:val="00310794"/>
    <w:rsid w:val="00311D29"/>
    <w:rsid w:val="00315872"/>
    <w:rsid w:val="00316783"/>
    <w:rsid w:val="003174EC"/>
    <w:rsid w:val="00317D67"/>
    <w:rsid w:val="00325543"/>
    <w:rsid w:val="003256CA"/>
    <w:rsid w:val="0032728D"/>
    <w:rsid w:val="003309DB"/>
    <w:rsid w:val="00331F1A"/>
    <w:rsid w:val="00334903"/>
    <w:rsid w:val="00335642"/>
    <w:rsid w:val="0034576D"/>
    <w:rsid w:val="00347F45"/>
    <w:rsid w:val="00350F1A"/>
    <w:rsid w:val="00353B50"/>
    <w:rsid w:val="00356FC7"/>
    <w:rsid w:val="0035776E"/>
    <w:rsid w:val="00357982"/>
    <w:rsid w:val="00367108"/>
    <w:rsid w:val="00370B75"/>
    <w:rsid w:val="003763B2"/>
    <w:rsid w:val="003818B5"/>
    <w:rsid w:val="00381977"/>
    <w:rsid w:val="00381C0A"/>
    <w:rsid w:val="00386219"/>
    <w:rsid w:val="00386247"/>
    <w:rsid w:val="00387367"/>
    <w:rsid w:val="003957A0"/>
    <w:rsid w:val="0039593D"/>
    <w:rsid w:val="00396ACD"/>
    <w:rsid w:val="003A0FFE"/>
    <w:rsid w:val="003B27FB"/>
    <w:rsid w:val="003B2829"/>
    <w:rsid w:val="003C1D83"/>
    <w:rsid w:val="003C49D6"/>
    <w:rsid w:val="003D05D5"/>
    <w:rsid w:val="003D0B28"/>
    <w:rsid w:val="003D1D46"/>
    <w:rsid w:val="003D2735"/>
    <w:rsid w:val="003D2C72"/>
    <w:rsid w:val="003D581D"/>
    <w:rsid w:val="003E0095"/>
    <w:rsid w:val="003E156F"/>
    <w:rsid w:val="003E68BD"/>
    <w:rsid w:val="004042D4"/>
    <w:rsid w:val="00405282"/>
    <w:rsid w:val="00411577"/>
    <w:rsid w:val="00412FC9"/>
    <w:rsid w:val="00414401"/>
    <w:rsid w:val="00417660"/>
    <w:rsid w:val="00424737"/>
    <w:rsid w:val="00424FBF"/>
    <w:rsid w:val="0042664D"/>
    <w:rsid w:val="00430EAE"/>
    <w:rsid w:val="00436474"/>
    <w:rsid w:val="00437E01"/>
    <w:rsid w:val="00440398"/>
    <w:rsid w:val="00441AA9"/>
    <w:rsid w:val="00446BD0"/>
    <w:rsid w:val="004471B6"/>
    <w:rsid w:val="00464E25"/>
    <w:rsid w:val="0046771C"/>
    <w:rsid w:val="00472FD5"/>
    <w:rsid w:val="00473CCF"/>
    <w:rsid w:val="004817AF"/>
    <w:rsid w:val="00485A36"/>
    <w:rsid w:val="004918C7"/>
    <w:rsid w:val="00493DC5"/>
    <w:rsid w:val="004A4784"/>
    <w:rsid w:val="004B1F90"/>
    <w:rsid w:val="004B234A"/>
    <w:rsid w:val="004B5921"/>
    <w:rsid w:val="004C0A79"/>
    <w:rsid w:val="004C25CE"/>
    <w:rsid w:val="004C2E5F"/>
    <w:rsid w:val="004C49B3"/>
    <w:rsid w:val="004D1AA0"/>
    <w:rsid w:val="004D37CA"/>
    <w:rsid w:val="004D6EAD"/>
    <w:rsid w:val="004D7FC6"/>
    <w:rsid w:val="004E229B"/>
    <w:rsid w:val="004E3F44"/>
    <w:rsid w:val="004E48AF"/>
    <w:rsid w:val="004F1927"/>
    <w:rsid w:val="004F1EE4"/>
    <w:rsid w:val="004F6CD0"/>
    <w:rsid w:val="00500FDA"/>
    <w:rsid w:val="00504835"/>
    <w:rsid w:val="0051145F"/>
    <w:rsid w:val="005127FC"/>
    <w:rsid w:val="00512C5A"/>
    <w:rsid w:val="00513770"/>
    <w:rsid w:val="00521DD0"/>
    <w:rsid w:val="00522A1D"/>
    <w:rsid w:val="00524610"/>
    <w:rsid w:val="00536AC0"/>
    <w:rsid w:val="00541183"/>
    <w:rsid w:val="00543238"/>
    <w:rsid w:val="00543F3C"/>
    <w:rsid w:val="00544FAF"/>
    <w:rsid w:val="005509D3"/>
    <w:rsid w:val="00552D8E"/>
    <w:rsid w:val="00553379"/>
    <w:rsid w:val="00561D5D"/>
    <w:rsid w:val="00562C01"/>
    <w:rsid w:val="005768C4"/>
    <w:rsid w:val="005778A4"/>
    <w:rsid w:val="00577ECA"/>
    <w:rsid w:val="005829A2"/>
    <w:rsid w:val="005837E5"/>
    <w:rsid w:val="00587267"/>
    <w:rsid w:val="00590D42"/>
    <w:rsid w:val="00591A43"/>
    <w:rsid w:val="0059301B"/>
    <w:rsid w:val="005B10CF"/>
    <w:rsid w:val="005B70F0"/>
    <w:rsid w:val="005C109A"/>
    <w:rsid w:val="005D543F"/>
    <w:rsid w:val="005D611F"/>
    <w:rsid w:val="005F1D3C"/>
    <w:rsid w:val="005F5848"/>
    <w:rsid w:val="005F61AE"/>
    <w:rsid w:val="005F72FB"/>
    <w:rsid w:val="0060098F"/>
    <w:rsid w:val="006056D2"/>
    <w:rsid w:val="00606B92"/>
    <w:rsid w:val="006133FA"/>
    <w:rsid w:val="00615A15"/>
    <w:rsid w:val="00623505"/>
    <w:rsid w:val="00632106"/>
    <w:rsid w:val="006407E1"/>
    <w:rsid w:val="006407E3"/>
    <w:rsid w:val="00645035"/>
    <w:rsid w:val="0065035C"/>
    <w:rsid w:val="0065049D"/>
    <w:rsid w:val="00650BBF"/>
    <w:rsid w:val="00650CF8"/>
    <w:rsid w:val="00652311"/>
    <w:rsid w:val="00654F07"/>
    <w:rsid w:val="0065773A"/>
    <w:rsid w:val="00661B67"/>
    <w:rsid w:val="006646F8"/>
    <w:rsid w:val="00666EE5"/>
    <w:rsid w:val="0067012B"/>
    <w:rsid w:val="006720F8"/>
    <w:rsid w:val="00680985"/>
    <w:rsid w:val="00680C8C"/>
    <w:rsid w:val="00686B2F"/>
    <w:rsid w:val="00691AB4"/>
    <w:rsid w:val="006924DA"/>
    <w:rsid w:val="006A0041"/>
    <w:rsid w:val="006A67AB"/>
    <w:rsid w:val="006A7310"/>
    <w:rsid w:val="006B2B49"/>
    <w:rsid w:val="006C1375"/>
    <w:rsid w:val="006C23B2"/>
    <w:rsid w:val="006C27D7"/>
    <w:rsid w:val="006C7825"/>
    <w:rsid w:val="006D2EDA"/>
    <w:rsid w:val="006E5727"/>
    <w:rsid w:val="006F2DA2"/>
    <w:rsid w:val="006F3261"/>
    <w:rsid w:val="0070144F"/>
    <w:rsid w:val="007109C0"/>
    <w:rsid w:val="00711FEC"/>
    <w:rsid w:val="007120E1"/>
    <w:rsid w:val="0071265E"/>
    <w:rsid w:val="007155A8"/>
    <w:rsid w:val="0072406A"/>
    <w:rsid w:val="00724F8E"/>
    <w:rsid w:val="00727F03"/>
    <w:rsid w:val="00731B4C"/>
    <w:rsid w:val="007325FB"/>
    <w:rsid w:val="0073312A"/>
    <w:rsid w:val="00736638"/>
    <w:rsid w:val="007443F9"/>
    <w:rsid w:val="007454C2"/>
    <w:rsid w:val="00745D9F"/>
    <w:rsid w:val="0074761D"/>
    <w:rsid w:val="007476FF"/>
    <w:rsid w:val="00752148"/>
    <w:rsid w:val="00761C3C"/>
    <w:rsid w:val="00761FCF"/>
    <w:rsid w:val="00764CBE"/>
    <w:rsid w:val="007652AA"/>
    <w:rsid w:val="00772B55"/>
    <w:rsid w:val="00776627"/>
    <w:rsid w:val="007768BB"/>
    <w:rsid w:val="007805A3"/>
    <w:rsid w:val="00782975"/>
    <w:rsid w:val="00784994"/>
    <w:rsid w:val="007867AD"/>
    <w:rsid w:val="007920F5"/>
    <w:rsid w:val="00792EB0"/>
    <w:rsid w:val="007939D1"/>
    <w:rsid w:val="00794BDE"/>
    <w:rsid w:val="007972D2"/>
    <w:rsid w:val="007A1251"/>
    <w:rsid w:val="007A23A0"/>
    <w:rsid w:val="007A5FDC"/>
    <w:rsid w:val="007A7BE4"/>
    <w:rsid w:val="007B2B25"/>
    <w:rsid w:val="007B5646"/>
    <w:rsid w:val="007B778A"/>
    <w:rsid w:val="007B7E1D"/>
    <w:rsid w:val="007C4A34"/>
    <w:rsid w:val="007C759F"/>
    <w:rsid w:val="007D114B"/>
    <w:rsid w:val="007D2B72"/>
    <w:rsid w:val="007D3EED"/>
    <w:rsid w:val="007E13F2"/>
    <w:rsid w:val="007E2CA9"/>
    <w:rsid w:val="007F0292"/>
    <w:rsid w:val="007F1E11"/>
    <w:rsid w:val="007F4849"/>
    <w:rsid w:val="007F7B42"/>
    <w:rsid w:val="00801236"/>
    <w:rsid w:val="00805B13"/>
    <w:rsid w:val="0080745B"/>
    <w:rsid w:val="00807C07"/>
    <w:rsid w:val="0081017F"/>
    <w:rsid w:val="00811561"/>
    <w:rsid w:val="00816BCA"/>
    <w:rsid w:val="00816BF1"/>
    <w:rsid w:val="00817E6F"/>
    <w:rsid w:val="00822026"/>
    <w:rsid w:val="008264C6"/>
    <w:rsid w:val="00830F5B"/>
    <w:rsid w:val="00831D46"/>
    <w:rsid w:val="00833693"/>
    <w:rsid w:val="00837348"/>
    <w:rsid w:val="00847528"/>
    <w:rsid w:val="00850E87"/>
    <w:rsid w:val="00851A7F"/>
    <w:rsid w:val="0085742F"/>
    <w:rsid w:val="008574FA"/>
    <w:rsid w:val="00861677"/>
    <w:rsid w:val="008653E3"/>
    <w:rsid w:val="008734E4"/>
    <w:rsid w:val="00874894"/>
    <w:rsid w:val="008864BD"/>
    <w:rsid w:val="008A698C"/>
    <w:rsid w:val="008A7E63"/>
    <w:rsid w:val="008B794E"/>
    <w:rsid w:val="008C0EDB"/>
    <w:rsid w:val="008C1DB2"/>
    <w:rsid w:val="008C23CB"/>
    <w:rsid w:val="008C3493"/>
    <w:rsid w:val="008C479C"/>
    <w:rsid w:val="008C4F79"/>
    <w:rsid w:val="008C576D"/>
    <w:rsid w:val="008D0E07"/>
    <w:rsid w:val="008D1C53"/>
    <w:rsid w:val="008D30F6"/>
    <w:rsid w:val="008D3A57"/>
    <w:rsid w:val="008D4205"/>
    <w:rsid w:val="008D5BEA"/>
    <w:rsid w:val="008E1119"/>
    <w:rsid w:val="008E5DF5"/>
    <w:rsid w:val="008E7485"/>
    <w:rsid w:val="008F0CCE"/>
    <w:rsid w:val="008F26E2"/>
    <w:rsid w:val="008F3DC8"/>
    <w:rsid w:val="00902D84"/>
    <w:rsid w:val="00904DC2"/>
    <w:rsid w:val="009057AC"/>
    <w:rsid w:val="009061A8"/>
    <w:rsid w:val="009062B6"/>
    <w:rsid w:val="009101D4"/>
    <w:rsid w:val="0091364E"/>
    <w:rsid w:val="009141C9"/>
    <w:rsid w:val="009146BD"/>
    <w:rsid w:val="0091738A"/>
    <w:rsid w:val="009215B1"/>
    <w:rsid w:val="00923B0A"/>
    <w:rsid w:val="00923F2D"/>
    <w:rsid w:val="009272D6"/>
    <w:rsid w:val="00931FB0"/>
    <w:rsid w:val="00932B08"/>
    <w:rsid w:val="00933F8D"/>
    <w:rsid w:val="00941AF2"/>
    <w:rsid w:val="00946151"/>
    <w:rsid w:val="009467AA"/>
    <w:rsid w:val="009612E4"/>
    <w:rsid w:val="00964838"/>
    <w:rsid w:val="00966111"/>
    <w:rsid w:val="00967089"/>
    <w:rsid w:val="009715FA"/>
    <w:rsid w:val="00971E29"/>
    <w:rsid w:val="009730BB"/>
    <w:rsid w:val="009814B4"/>
    <w:rsid w:val="00986941"/>
    <w:rsid w:val="009902A6"/>
    <w:rsid w:val="009928F5"/>
    <w:rsid w:val="00994B45"/>
    <w:rsid w:val="009950D9"/>
    <w:rsid w:val="009966B4"/>
    <w:rsid w:val="009A2AE7"/>
    <w:rsid w:val="009A5B58"/>
    <w:rsid w:val="009A64E1"/>
    <w:rsid w:val="009A76E2"/>
    <w:rsid w:val="009B1B7B"/>
    <w:rsid w:val="009B237B"/>
    <w:rsid w:val="009C0920"/>
    <w:rsid w:val="009C283B"/>
    <w:rsid w:val="009C49C6"/>
    <w:rsid w:val="009C6B9F"/>
    <w:rsid w:val="009D344D"/>
    <w:rsid w:val="009E34D8"/>
    <w:rsid w:val="009F019F"/>
    <w:rsid w:val="009F212C"/>
    <w:rsid w:val="009F273A"/>
    <w:rsid w:val="009F55B8"/>
    <w:rsid w:val="00A006D2"/>
    <w:rsid w:val="00A06A79"/>
    <w:rsid w:val="00A1468E"/>
    <w:rsid w:val="00A14A15"/>
    <w:rsid w:val="00A1541B"/>
    <w:rsid w:val="00A1642D"/>
    <w:rsid w:val="00A2117C"/>
    <w:rsid w:val="00A24F7A"/>
    <w:rsid w:val="00A25505"/>
    <w:rsid w:val="00A25692"/>
    <w:rsid w:val="00A325D2"/>
    <w:rsid w:val="00A340EF"/>
    <w:rsid w:val="00A34808"/>
    <w:rsid w:val="00A37041"/>
    <w:rsid w:val="00A37B77"/>
    <w:rsid w:val="00A41D82"/>
    <w:rsid w:val="00A43479"/>
    <w:rsid w:val="00A45BB8"/>
    <w:rsid w:val="00A4680C"/>
    <w:rsid w:val="00A50603"/>
    <w:rsid w:val="00A53382"/>
    <w:rsid w:val="00A53B53"/>
    <w:rsid w:val="00A63195"/>
    <w:rsid w:val="00A66567"/>
    <w:rsid w:val="00A711F0"/>
    <w:rsid w:val="00A72302"/>
    <w:rsid w:val="00A743C5"/>
    <w:rsid w:val="00A746A7"/>
    <w:rsid w:val="00A7470C"/>
    <w:rsid w:val="00A75443"/>
    <w:rsid w:val="00A81F59"/>
    <w:rsid w:val="00A857CC"/>
    <w:rsid w:val="00A9105F"/>
    <w:rsid w:val="00A974D5"/>
    <w:rsid w:val="00AA0184"/>
    <w:rsid w:val="00AA0FEA"/>
    <w:rsid w:val="00AB1DAF"/>
    <w:rsid w:val="00AB3BBD"/>
    <w:rsid w:val="00AC14AD"/>
    <w:rsid w:val="00AC5F8C"/>
    <w:rsid w:val="00AD21E1"/>
    <w:rsid w:val="00AD6AC3"/>
    <w:rsid w:val="00AD7909"/>
    <w:rsid w:val="00AE0B24"/>
    <w:rsid w:val="00AE14A1"/>
    <w:rsid w:val="00AE383E"/>
    <w:rsid w:val="00AE3BEF"/>
    <w:rsid w:val="00AE3C59"/>
    <w:rsid w:val="00AF1DF1"/>
    <w:rsid w:val="00AF393E"/>
    <w:rsid w:val="00AF69CF"/>
    <w:rsid w:val="00B0198B"/>
    <w:rsid w:val="00B0504C"/>
    <w:rsid w:val="00B1494C"/>
    <w:rsid w:val="00B20ACA"/>
    <w:rsid w:val="00B2202A"/>
    <w:rsid w:val="00B24D82"/>
    <w:rsid w:val="00B25B0F"/>
    <w:rsid w:val="00B26F88"/>
    <w:rsid w:val="00B276D4"/>
    <w:rsid w:val="00B35083"/>
    <w:rsid w:val="00B45A6F"/>
    <w:rsid w:val="00B45AD9"/>
    <w:rsid w:val="00B522BA"/>
    <w:rsid w:val="00B52A10"/>
    <w:rsid w:val="00B63294"/>
    <w:rsid w:val="00B6443D"/>
    <w:rsid w:val="00B7031D"/>
    <w:rsid w:val="00B72F10"/>
    <w:rsid w:val="00B8111E"/>
    <w:rsid w:val="00B849CE"/>
    <w:rsid w:val="00B91B33"/>
    <w:rsid w:val="00B92C72"/>
    <w:rsid w:val="00B93694"/>
    <w:rsid w:val="00B94C14"/>
    <w:rsid w:val="00B95020"/>
    <w:rsid w:val="00B977A7"/>
    <w:rsid w:val="00BA194B"/>
    <w:rsid w:val="00BB069B"/>
    <w:rsid w:val="00BC1910"/>
    <w:rsid w:val="00BC32D7"/>
    <w:rsid w:val="00BC33F8"/>
    <w:rsid w:val="00BC60A7"/>
    <w:rsid w:val="00BC6693"/>
    <w:rsid w:val="00BC6A67"/>
    <w:rsid w:val="00BD2B10"/>
    <w:rsid w:val="00BD4BCB"/>
    <w:rsid w:val="00BE1202"/>
    <w:rsid w:val="00BE1385"/>
    <w:rsid w:val="00BF2345"/>
    <w:rsid w:val="00BF2AA4"/>
    <w:rsid w:val="00BF4C75"/>
    <w:rsid w:val="00C00B95"/>
    <w:rsid w:val="00C00F36"/>
    <w:rsid w:val="00C02601"/>
    <w:rsid w:val="00C02966"/>
    <w:rsid w:val="00C0687B"/>
    <w:rsid w:val="00C1684F"/>
    <w:rsid w:val="00C225BD"/>
    <w:rsid w:val="00C22EC5"/>
    <w:rsid w:val="00C34DBA"/>
    <w:rsid w:val="00C416A3"/>
    <w:rsid w:val="00C43773"/>
    <w:rsid w:val="00C466D9"/>
    <w:rsid w:val="00C53349"/>
    <w:rsid w:val="00C55728"/>
    <w:rsid w:val="00C5691D"/>
    <w:rsid w:val="00C57FAE"/>
    <w:rsid w:val="00C62347"/>
    <w:rsid w:val="00C63860"/>
    <w:rsid w:val="00C64524"/>
    <w:rsid w:val="00C653E0"/>
    <w:rsid w:val="00C66CBE"/>
    <w:rsid w:val="00C677C7"/>
    <w:rsid w:val="00C67A76"/>
    <w:rsid w:val="00C75835"/>
    <w:rsid w:val="00C809BB"/>
    <w:rsid w:val="00C907FC"/>
    <w:rsid w:val="00C90B5D"/>
    <w:rsid w:val="00C90E30"/>
    <w:rsid w:val="00C924CE"/>
    <w:rsid w:val="00C928AC"/>
    <w:rsid w:val="00C940DD"/>
    <w:rsid w:val="00CA1E7C"/>
    <w:rsid w:val="00CA3AA1"/>
    <w:rsid w:val="00CA5A87"/>
    <w:rsid w:val="00CA6188"/>
    <w:rsid w:val="00CB05D1"/>
    <w:rsid w:val="00CB61ED"/>
    <w:rsid w:val="00CC0FFF"/>
    <w:rsid w:val="00CC2547"/>
    <w:rsid w:val="00CD2805"/>
    <w:rsid w:val="00CD4726"/>
    <w:rsid w:val="00CD6F35"/>
    <w:rsid w:val="00CE239F"/>
    <w:rsid w:val="00CE53ED"/>
    <w:rsid w:val="00CE6FEB"/>
    <w:rsid w:val="00CF1737"/>
    <w:rsid w:val="00CF2382"/>
    <w:rsid w:val="00CF5068"/>
    <w:rsid w:val="00D03C22"/>
    <w:rsid w:val="00D040ED"/>
    <w:rsid w:val="00D044FC"/>
    <w:rsid w:val="00D07526"/>
    <w:rsid w:val="00D15CF5"/>
    <w:rsid w:val="00D20EBD"/>
    <w:rsid w:val="00D238DD"/>
    <w:rsid w:val="00D27C78"/>
    <w:rsid w:val="00D27F66"/>
    <w:rsid w:val="00D3749B"/>
    <w:rsid w:val="00D4099D"/>
    <w:rsid w:val="00D4100E"/>
    <w:rsid w:val="00D4504E"/>
    <w:rsid w:val="00D53EE3"/>
    <w:rsid w:val="00D568B9"/>
    <w:rsid w:val="00D57FAA"/>
    <w:rsid w:val="00D728DF"/>
    <w:rsid w:val="00D760DA"/>
    <w:rsid w:val="00D81A53"/>
    <w:rsid w:val="00D84191"/>
    <w:rsid w:val="00D87E72"/>
    <w:rsid w:val="00D87FBE"/>
    <w:rsid w:val="00D939D2"/>
    <w:rsid w:val="00D93CA0"/>
    <w:rsid w:val="00D9559E"/>
    <w:rsid w:val="00D9612D"/>
    <w:rsid w:val="00D962E8"/>
    <w:rsid w:val="00DA5D32"/>
    <w:rsid w:val="00DC24AA"/>
    <w:rsid w:val="00DC49E6"/>
    <w:rsid w:val="00DD1F7A"/>
    <w:rsid w:val="00DD32B8"/>
    <w:rsid w:val="00DD622A"/>
    <w:rsid w:val="00DD70CB"/>
    <w:rsid w:val="00DE3E86"/>
    <w:rsid w:val="00DE7BAC"/>
    <w:rsid w:val="00DF2288"/>
    <w:rsid w:val="00DF49F2"/>
    <w:rsid w:val="00DF514C"/>
    <w:rsid w:val="00E005AC"/>
    <w:rsid w:val="00E01EFB"/>
    <w:rsid w:val="00E04A3D"/>
    <w:rsid w:val="00E05BEB"/>
    <w:rsid w:val="00E07CCF"/>
    <w:rsid w:val="00E134A7"/>
    <w:rsid w:val="00E14E83"/>
    <w:rsid w:val="00E1648D"/>
    <w:rsid w:val="00E16709"/>
    <w:rsid w:val="00E21581"/>
    <w:rsid w:val="00E30A56"/>
    <w:rsid w:val="00E36F15"/>
    <w:rsid w:val="00E37781"/>
    <w:rsid w:val="00E37D32"/>
    <w:rsid w:val="00E40E8E"/>
    <w:rsid w:val="00E44CF5"/>
    <w:rsid w:val="00E506DB"/>
    <w:rsid w:val="00E51484"/>
    <w:rsid w:val="00E544C3"/>
    <w:rsid w:val="00E550AC"/>
    <w:rsid w:val="00E62ACC"/>
    <w:rsid w:val="00E650D6"/>
    <w:rsid w:val="00E72DF1"/>
    <w:rsid w:val="00E74192"/>
    <w:rsid w:val="00E745B1"/>
    <w:rsid w:val="00E74F62"/>
    <w:rsid w:val="00E84C44"/>
    <w:rsid w:val="00E90871"/>
    <w:rsid w:val="00E92D76"/>
    <w:rsid w:val="00E93729"/>
    <w:rsid w:val="00E95376"/>
    <w:rsid w:val="00E959BE"/>
    <w:rsid w:val="00EA0B06"/>
    <w:rsid w:val="00EA1CF9"/>
    <w:rsid w:val="00EA2FDC"/>
    <w:rsid w:val="00EA33FC"/>
    <w:rsid w:val="00EA5EB2"/>
    <w:rsid w:val="00EB0F21"/>
    <w:rsid w:val="00EB1034"/>
    <w:rsid w:val="00EB1CC7"/>
    <w:rsid w:val="00EB1D44"/>
    <w:rsid w:val="00EB28B8"/>
    <w:rsid w:val="00EB412F"/>
    <w:rsid w:val="00EB428F"/>
    <w:rsid w:val="00EB4C01"/>
    <w:rsid w:val="00EB5376"/>
    <w:rsid w:val="00EC0EBC"/>
    <w:rsid w:val="00EC33D7"/>
    <w:rsid w:val="00EC4748"/>
    <w:rsid w:val="00ED144A"/>
    <w:rsid w:val="00ED2449"/>
    <w:rsid w:val="00ED707B"/>
    <w:rsid w:val="00EE030D"/>
    <w:rsid w:val="00EE08D2"/>
    <w:rsid w:val="00EF583B"/>
    <w:rsid w:val="00F02E44"/>
    <w:rsid w:val="00F10466"/>
    <w:rsid w:val="00F11AFA"/>
    <w:rsid w:val="00F161B6"/>
    <w:rsid w:val="00F21919"/>
    <w:rsid w:val="00F40531"/>
    <w:rsid w:val="00F40B74"/>
    <w:rsid w:val="00F4152D"/>
    <w:rsid w:val="00F44116"/>
    <w:rsid w:val="00F47851"/>
    <w:rsid w:val="00F504EC"/>
    <w:rsid w:val="00F50B85"/>
    <w:rsid w:val="00F5109C"/>
    <w:rsid w:val="00F57B0D"/>
    <w:rsid w:val="00F82DF0"/>
    <w:rsid w:val="00F9492A"/>
    <w:rsid w:val="00F95A2F"/>
    <w:rsid w:val="00FA06D1"/>
    <w:rsid w:val="00FA1D35"/>
    <w:rsid w:val="00FA1FA3"/>
    <w:rsid w:val="00FB5736"/>
    <w:rsid w:val="00FC0985"/>
    <w:rsid w:val="00FC1FCD"/>
    <w:rsid w:val="00FC65E2"/>
    <w:rsid w:val="00FD5BA0"/>
    <w:rsid w:val="00FE244F"/>
    <w:rsid w:val="00FE374E"/>
    <w:rsid w:val="00FE3DEF"/>
    <w:rsid w:val="00FE709A"/>
    <w:rsid w:val="00FF00F7"/>
    <w:rsid w:val="00FF2153"/>
    <w:rsid w:val="00FF328C"/>
    <w:rsid w:val="00FF51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1B5351-D126-47B1-BFBC-978C110AA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479"/>
    <w:rPr>
      <w:rFonts w:ascii="Calibri" w:hAnsi="Calibri"/>
      <w:sz w:val="22"/>
      <w:szCs w:val="24"/>
    </w:rPr>
  </w:style>
  <w:style w:type="paragraph" w:styleId="Titre1">
    <w:name w:val="heading 1"/>
    <w:basedOn w:val="Normal"/>
    <w:next w:val="Normal"/>
    <w:link w:val="Titre1Car"/>
    <w:autoRedefine/>
    <w:qFormat/>
    <w:rsid w:val="00933F8D"/>
    <w:pPr>
      <w:keepNext/>
      <w:numPr>
        <w:numId w:val="2"/>
      </w:numPr>
      <w:tabs>
        <w:tab w:val="left" w:pos="567"/>
      </w:tabs>
      <w:suppressAutoHyphens/>
      <w:spacing w:before="240" w:after="240"/>
      <w:ind w:left="431" w:hanging="431"/>
      <w:outlineLvl w:val="0"/>
    </w:pPr>
    <w:rPr>
      <w:rFonts w:cs="Arial"/>
      <w:b/>
      <w:bCs/>
      <w:noProof/>
      <w:color w:val="548DD4" w:themeColor="text2" w:themeTint="99"/>
      <w:kern w:val="32"/>
      <w:sz w:val="28"/>
      <w:szCs w:val="32"/>
    </w:rPr>
  </w:style>
  <w:style w:type="paragraph" w:styleId="Titre2">
    <w:name w:val="heading 2"/>
    <w:basedOn w:val="Titre"/>
    <w:next w:val="Normal"/>
    <w:link w:val="Titre2Car"/>
    <w:autoRedefine/>
    <w:qFormat/>
    <w:rsid w:val="007B7E1D"/>
    <w:pPr>
      <w:numPr>
        <w:ilvl w:val="1"/>
        <w:numId w:val="2"/>
      </w:numPr>
      <w:outlineLvl w:val="1"/>
    </w:pPr>
    <w:rPr>
      <w:rFonts w:eastAsia="Times New Roman" w:cs="Times New Roman"/>
      <w:sz w:val="24"/>
      <w:lang w:val="x-none" w:eastAsia="x-none"/>
    </w:rPr>
  </w:style>
  <w:style w:type="paragraph" w:styleId="Titre3">
    <w:name w:val="heading 3"/>
    <w:basedOn w:val="Titre2"/>
    <w:next w:val="Normal"/>
    <w:link w:val="Titre3Car"/>
    <w:autoRedefine/>
    <w:qFormat/>
    <w:rsid w:val="00AE0B24"/>
    <w:pPr>
      <w:numPr>
        <w:ilvl w:val="2"/>
      </w:numPr>
      <w:ind w:left="720"/>
      <w:outlineLvl w:val="2"/>
    </w:pPr>
    <w:rPr>
      <w:bCs w:val="0"/>
      <w:noProof w:val="0"/>
      <w:color w:val="auto"/>
      <w:kern w:val="0"/>
      <w:sz w:val="22"/>
      <w:szCs w:val="24"/>
      <w:lang w:val="fr-FR"/>
    </w:rPr>
  </w:style>
  <w:style w:type="paragraph" w:styleId="Titre4">
    <w:name w:val="heading 4"/>
    <w:basedOn w:val="Titre3"/>
    <w:next w:val="Normal"/>
    <w:link w:val="Titre4Car"/>
    <w:autoRedefine/>
    <w:qFormat/>
    <w:rsid w:val="009272D6"/>
    <w:pPr>
      <w:numPr>
        <w:ilvl w:val="3"/>
      </w:numPr>
      <w:spacing w:before="120" w:after="120"/>
      <w:outlineLvl w:val="3"/>
    </w:pPr>
  </w:style>
  <w:style w:type="paragraph" w:styleId="Titre5">
    <w:name w:val="heading 5"/>
    <w:basedOn w:val="Titre4"/>
    <w:next w:val="Normal"/>
    <w:link w:val="Titre5Car"/>
    <w:autoRedefine/>
    <w:qFormat/>
    <w:rsid w:val="00A43479"/>
    <w:pPr>
      <w:numPr>
        <w:ilvl w:val="4"/>
      </w:numPr>
      <w:outlineLvl w:val="4"/>
    </w:pPr>
  </w:style>
  <w:style w:type="paragraph" w:styleId="Titre6">
    <w:name w:val="heading 6"/>
    <w:basedOn w:val="Titre5"/>
    <w:next w:val="Normal"/>
    <w:link w:val="Titre6Car"/>
    <w:autoRedefine/>
    <w:qFormat/>
    <w:rsid w:val="00A43479"/>
    <w:pPr>
      <w:numPr>
        <w:ilvl w:val="5"/>
      </w:numPr>
      <w:outlineLvl w:val="5"/>
    </w:pPr>
  </w:style>
  <w:style w:type="paragraph" w:styleId="Titre7">
    <w:name w:val="heading 7"/>
    <w:basedOn w:val="Titre6"/>
    <w:next w:val="Normal"/>
    <w:link w:val="Titre7Car"/>
    <w:autoRedefine/>
    <w:qFormat/>
    <w:rsid w:val="00A43479"/>
    <w:pPr>
      <w:numPr>
        <w:ilvl w:val="6"/>
      </w:numPr>
      <w:outlineLvl w:val="6"/>
    </w:pPr>
  </w:style>
  <w:style w:type="paragraph" w:styleId="Titre8">
    <w:name w:val="heading 8"/>
    <w:basedOn w:val="Normal"/>
    <w:next w:val="Normal"/>
    <w:link w:val="Titre8Car"/>
    <w:autoRedefine/>
    <w:qFormat/>
    <w:rsid w:val="00A43479"/>
    <w:pPr>
      <w:suppressAutoHyphens/>
      <w:spacing w:before="240" w:after="240"/>
      <w:ind w:left="1440" w:hanging="1440"/>
      <w:jc w:val="both"/>
      <w:outlineLvl w:val="7"/>
    </w:pPr>
    <w:rPr>
      <w:b/>
      <w:iCs/>
      <w:noProof/>
      <w:szCs w:val="22"/>
    </w:rPr>
  </w:style>
  <w:style w:type="paragraph" w:styleId="Titre9">
    <w:name w:val="heading 9"/>
    <w:basedOn w:val="Normal"/>
    <w:next w:val="Normal"/>
    <w:link w:val="Titre9Car"/>
    <w:qFormat/>
    <w:rsid w:val="00A43479"/>
    <w:pPr>
      <w:numPr>
        <w:ilvl w:val="8"/>
        <w:numId w:val="1"/>
      </w:num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933F8D"/>
    <w:rPr>
      <w:rFonts w:ascii="Calibri" w:hAnsi="Calibri" w:cs="Arial"/>
      <w:b/>
      <w:bCs/>
      <w:noProof/>
      <w:color w:val="548DD4" w:themeColor="text2" w:themeTint="99"/>
      <w:kern w:val="32"/>
      <w:sz w:val="28"/>
      <w:szCs w:val="32"/>
    </w:rPr>
  </w:style>
  <w:style w:type="character" w:customStyle="1" w:styleId="Titre2Car">
    <w:name w:val="Titre 2 Car"/>
    <w:link w:val="Titre2"/>
    <w:rsid w:val="007B7E1D"/>
    <w:rPr>
      <w:rFonts w:ascii="Calibri" w:hAnsi="Calibri"/>
      <w:b/>
      <w:bCs/>
      <w:noProof/>
      <w:color w:val="009CDE"/>
      <w:kern w:val="28"/>
      <w:sz w:val="24"/>
      <w:szCs w:val="32"/>
      <w:lang w:val="x-none" w:eastAsia="x-none"/>
    </w:rPr>
  </w:style>
  <w:style w:type="paragraph" w:styleId="Titre">
    <w:name w:val="Title"/>
    <w:basedOn w:val="Normal"/>
    <w:next w:val="Normal"/>
    <w:link w:val="TitreCar"/>
    <w:autoRedefine/>
    <w:qFormat/>
    <w:rsid w:val="00933F8D"/>
    <w:pPr>
      <w:suppressAutoHyphens/>
      <w:spacing w:before="240" w:after="240"/>
    </w:pPr>
    <w:rPr>
      <w:rFonts w:eastAsiaTheme="majorEastAsia" w:cs="Arial"/>
      <w:b/>
      <w:bCs/>
      <w:noProof/>
      <w:color w:val="009CDE"/>
      <w:kern w:val="28"/>
      <w:sz w:val="28"/>
      <w:szCs w:val="28"/>
    </w:rPr>
  </w:style>
  <w:style w:type="character" w:customStyle="1" w:styleId="TitreCar">
    <w:name w:val="Titre Car"/>
    <w:link w:val="Titre"/>
    <w:rsid w:val="00933F8D"/>
    <w:rPr>
      <w:rFonts w:ascii="Calibri" w:eastAsiaTheme="majorEastAsia" w:hAnsi="Calibri" w:cs="Arial"/>
      <w:b/>
      <w:bCs/>
      <w:noProof/>
      <w:color w:val="009CDE"/>
      <w:kern w:val="28"/>
      <w:sz w:val="28"/>
      <w:szCs w:val="28"/>
    </w:rPr>
  </w:style>
  <w:style w:type="character" w:customStyle="1" w:styleId="Titre3Car">
    <w:name w:val="Titre 3 Car"/>
    <w:link w:val="Titre3"/>
    <w:rsid w:val="00AE0B24"/>
    <w:rPr>
      <w:rFonts w:ascii="Calibri" w:hAnsi="Calibri"/>
      <w:b/>
      <w:sz w:val="22"/>
      <w:szCs w:val="24"/>
      <w:lang w:eastAsia="x-none"/>
    </w:rPr>
  </w:style>
  <w:style w:type="character" w:customStyle="1" w:styleId="Titre4Car">
    <w:name w:val="Titre 4 Car"/>
    <w:link w:val="Titre4"/>
    <w:rsid w:val="009272D6"/>
    <w:rPr>
      <w:rFonts w:ascii="Calibri" w:hAnsi="Calibri"/>
      <w:b/>
      <w:sz w:val="22"/>
      <w:szCs w:val="24"/>
      <w:lang w:eastAsia="x-none"/>
    </w:rPr>
  </w:style>
  <w:style w:type="character" w:customStyle="1" w:styleId="Titre5Car">
    <w:name w:val="Titre 5 Car"/>
    <w:link w:val="Titre5"/>
    <w:rsid w:val="00A43479"/>
    <w:rPr>
      <w:rFonts w:ascii="Calibri" w:hAnsi="Calibri"/>
      <w:b/>
      <w:bCs/>
      <w:noProof/>
      <w:kern w:val="28"/>
      <w:sz w:val="22"/>
      <w:szCs w:val="32"/>
      <w:lang w:eastAsia="x-none"/>
    </w:rPr>
  </w:style>
  <w:style w:type="character" w:customStyle="1" w:styleId="Titre6Car">
    <w:name w:val="Titre 6 Car"/>
    <w:link w:val="Titre6"/>
    <w:rsid w:val="00A43479"/>
    <w:rPr>
      <w:rFonts w:ascii="Calibri" w:hAnsi="Calibri"/>
      <w:b/>
      <w:bCs/>
      <w:noProof/>
      <w:kern w:val="28"/>
      <w:sz w:val="22"/>
      <w:szCs w:val="32"/>
      <w:lang w:eastAsia="x-none"/>
    </w:rPr>
  </w:style>
  <w:style w:type="character" w:customStyle="1" w:styleId="Titre7Car">
    <w:name w:val="Titre 7 Car"/>
    <w:link w:val="Titre7"/>
    <w:rsid w:val="00A43479"/>
    <w:rPr>
      <w:rFonts w:ascii="Calibri" w:hAnsi="Calibri"/>
      <w:b/>
      <w:bCs/>
      <w:noProof/>
      <w:kern w:val="28"/>
      <w:sz w:val="22"/>
      <w:szCs w:val="32"/>
      <w:lang w:eastAsia="x-none"/>
    </w:rPr>
  </w:style>
  <w:style w:type="character" w:customStyle="1" w:styleId="Titre8Car">
    <w:name w:val="Titre 8 Car"/>
    <w:link w:val="Titre8"/>
    <w:rsid w:val="00A43479"/>
    <w:rPr>
      <w:rFonts w:ascii="Calibri" w:hAnsi="Calibri"/>
      <w:b/>
      <w:iCs/>
      <w:noProof/>
      <w:sz w:val="22"/>
      <w:szCs w:val="22"/>
    </w:rPr>
  </w:style>
  <w:style w:type="character" w:customStyle="1" w:styleId="Titre9Car">
    <w:name w:val="Titre 9 Car"/>
    <w:link w:val="Titre9"/>
    <w:rsid w:val="00A43479"/>
    <w:rPr>
      <w:rFonts w:ascii="Arial" w:hAnsi="Arial" w:cs="Arial"/>
      <w:sz w:val="22"/>
      <w:szCs w:val="22"/>
    </w:rPr>
  </w:style>
  <w:style w:type="paragraph" w:styleId="Lgende">
    <w:name w:val="caption"/>
    <w:basedOn w:val="Normal"/>
    <w:next w:val="Normal"/>
    <w:uiPriority w:val="35"/>
    <w:unhideWhenUsed/>
    <w:qFormat/>
    <w:rsid w:val="00A43479"/>
    <w:pPr>
      <w:jc w:val="center"/>
    </w:pPr>
    <w:rPr>
      <w:b/>
      <w:bCs/>
      <w:color w:val="000000"/>
      <w:sz w:val="18"/>
      <w:szCs w:val="18"/>
    </w:rPr>
  </w:style>
  <w:style w:type="paragraph" w:styleId="Sous-titre">
    <w:name w:val="Subtitle"/>
    <w:basedOn w:val="Normal"/>
    <w:next w:val="Normal"/>
    <w:link w:val="Sous-titreCar"/>
    <w:autoRedefine/>
    <w:qFormat/>
    <w:rsid w:val="00A43479"/>
    <w:pPr>
      <w:suppressAutoHyphens/>
      <w:spacing w:before="240" w:after="240"/>
      <w:jc w:val="center"/>
    </w:pPr>
    <w:rPr>
      <w:rFonts w:cs="Arial"/>
      <w:b/>
      <w:i/>
      <w:noProof/>
      <w:color w:val="009CDE"/>
      <w:sz w:val="40"/>
      <w:szCs w:val="22"/>
    </w:rPr>
  </w:style>
  <w:style w:type="character" w:customStyle="1" w:styleId="Sous-titreCar">
    <w:name w:val="Sous-titre Car"/>
    <w:link w:val="Sous-titre"/>
    <w:rsid w:val="00A43479"/>
    <w:rPr>
      <w:rFonts w:ascii="Calibri" w:hAnsi="Calibri" w:cs="Arial"/>
      <w:b/>
      <w:i/>
      <w:noProof/>
      <w:color w:val="009CDE"/>
      <w:sz w:val="40"/>
      <w:szCs w:val="22"/>
    </w:rPr>
  </w:style>
  <w:style w:type="paragraph" w:styleId="Sansinterligne">
    <w:name w:val="No Spacing"/>
    <w:basedOn w:val="Normal"/>
    <w:uiPriority w:val="1"/>
    <w:qFormat/>
    <w:rsid w:val="00A43479"/>
    <w:pPr>
      <w:suppressAutoHyphens/>
      <w:spacing w:before="100" w:beforeAutospacing="1" w:after="100" w:afterAutospacing="1"/>
    </w:pPr>
    <w:rPr>
      <w:rFonts w:eastAsia="Calibri"/>
    </w:rPr>
  </w:style>
  <w:style w:type="paragraph" w:styleId="Paragraphedeliste">
    <w:name w:val="List Paragraph"/>
    <w:basedOn w:val="Normal"/>
    <w:uiPriority w:val="34"/>
    <w:qFormat/>
    <w:rsid w:val="00A43479"/>
    <w:pPr>
      <w:spacing w:after="100" w:afterAutospacing="1"/>
      <w:ind w:left="720"/>
      <w:contextualSpacing/>
    </w:pPr>
    <w:rPr>
      <w:rFonts w:eastAsia="Calibri"/>
      <w:szCs w:val="22"/>
      <w:lang w:eastAsia="en-US"/>
    </w:rPr>
  </w:style>
  <w:style w:type="character" w:styleId="Emphaseintense">
    <w:name w:val="Intense Emphasis"/>
    <w:basedOn w:val="Policepardfaut"/>
    <w:uiPriority w:val="21"/>
    <w:qFormat/>
    <w:rsid w:val="00334903"/>
    <w:rPr>
      <w:b/>
      <w:bCs/>
      <w:i/>
      <w:iCs/>
      <w:color w:val="4F81BD" w:themeColor="accent1"/>
    </w:rPr>
  </w:style>
  <w:style w:type="paragraph" w:styleId="Textedebulles">
    <w:name w:val="Balloon Text"/>
    <w:basedOn w:val="Normal"/>
    <w:link w:val="TextedebullesCar"/>
    <w:uiPriority w:val="99"/>
    <w:semiHidden/>
    <w:unhideWhenUsed/>
    <w:rsid w:val="009950D9"/>
    <w:rPr>
      <w:rFonts w:ascii="Tahoma" w:hAnsi="Tahoma" w:cs="Tahoma"/>
      <w:sz w:val="16"/>
      <w:szCs w:val="16"/>
    </w:rPr>
  </w:style>
  <w:style w:type="character" w:customStyle="1" w:styleId="TextedebullesCar">
    <w:name w:val="Texte de bulles Car"/>
    <w:basedOn w:val="Policepardfaut"/>
    <w:link w:val="Textedebulles"/>
    <w:uiPriority w:val="99"/>
    <w:semiHidden/>
    <w:rsid w:val="009950D9"/>
    <w:rPr>
      <w:rFonts w:ascii="Tahoma" w:hAnsi="Tahoma" w:cs="Tahoma"/>
      <w:sz w:val="16"/>
      <w:szCs w:val="16"/>
    </w:rPr>
  </w:style>
  <w:style w:type="table" w:styleId="Grilledutableau">
    <w:name w:val="Table Grid"/>
    <w:basedOn w:val="TableauNormal"/>
    <w:uiPriority w:val="59"/>
    <w:rsid w:val="00D40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30FE0"/>
    <w:rPr>
      <w:color w:val="0000FF" w:themeColor="hyperlink"/>
      <w:u w:val="single"/>
    </w:rPr>
  </w:style>
  <w:style w:type="paragraph" w:styleId="En-ttedetabledesmatires">
    <w:name w:val="TOC Heading"/>
    <w:basedOn w:val="Titre1"/>
    <w:next w:val="Normal"/>
    <w:uiPriority w:val="39"/>
    <w:semiHidden/>
    <w:unhideWhenUsed/>
    <w:qFormat/>
    <w:rsid w:val="0008036F"/>
    <w:pPr>
      <w:keepLines/>
      <w:numPr>
        <w:numId w:val="0"/>
      </w:numPr>
      <w:tabs>
        <w:tab w:val="clear" w:pos="567"/>
      </w:tabs>
      <w:suppressAutoHyphens w:val="0"/>
      <w:spacing w:before="480" w:after="0" w:line="276" w:lineRule="auto"/>
      <w:outlineLvl w:val="9"/>
    </w:pPr>
    <w:rPr>
      <w:rFonts w:asciiTheme="majorHAnsi" w:eastAsiaTheme="majorEastAsia" w:hAnsiTheme="majorHAnsi" w:cstheme="majorBidi"/>
      <w:noProof w:val="0"/>
      <w:color w:val="365F91" w:themeColor="accent1" w:themeShade="BF"/>
      <w:kern w:val="0"/>
      <w:szCs w:val="28"/>
    </w:rPr>
  </w:style>
  <w:style w:type="paragraph" w:styleId="TM2">
    <w:name w:val="toc 2"/>
    <w:basedOn w:val="Normal"/>
    <w:next w:val="Normal"/>
    <w:autoRedefine/>
    <w:uiPriority w:val="39"/>
    <w:unhideWhenUsed/>
    <w:rsid w:val="0008036F"/>
    <w:pPr>
      <w:spacing w:after="100"/>
      <w:ind w:left="220"/>
    </w:pPr>
  </w:style>
  <w:style w:type="paragraph" w:styleId="TM3">
    <w:name w:val="toc 3"/>
    <w:basedOn w:val="Normal"/>
    <w:next w:val="Normal"/>
    <w:autoRedefine/>
    <w:uiPriority w:val="39"/>
    <w:unhideWhenUsed/>
    <w:rsid w:val="0008036F"/>
    <w:pPr>
      <w:spacing w:after="100"/>
      <w:ind w:left="440"/>
    </w:pPr>
  </w:style>
  <w:style w:type="paragraph" w:styleId="En-tte">
    <w:name w:val="header"/>
    <w:basedOn w:val="Normal"/>
    <w:link w:val="En-tteCar"/>
    <w:uiPriority w:val="99"/>
    <w:unhideWhenUsed/>
    <w:rsid w:val="00052189"/>
    <w:pPr>
      <w:tabs>
        <w:tab w:val="center" w:pos="4536"/>
        <w:tab w:val="right" w:pos="9072"/>
      </w:tabs>
    </w:pPr>
  </w:style>
  <w:style w:type="character" w:customStyle="1" w:styleId="En-tteCar">
    <w:name w:val="En-tête Car"/>
    <w:basedOn w:val="Policepardfaut"/>
    <w:link w:val="En-tte"/>
    <w:uiPriority w:val="99"/>
    <w:rsid w:val="00052189"/>
    <w:rPr>
      <w:rFonts w:ascii="Calibri" w:hAnsi="Calibri"/>
      <w:sz w:val="22"/>
      <w:szCs w:val="24"/>
    </w:rPr>
  </w:style>
  <w:style w:type="paragraph" w:styleId="Pieddepage">
    <w:name w:val="footer"/>
    <w:basedOn w:val="Normal"/>
    <w:link w:val="PieddepageCar"/>
    <w:uiPriority w:val="99"/>
    <w:unhideWhenUsed/>
    <w:rsid w:val="00052189"/>
    <w:pPr>
      <w:tabs>
        <w:tab w:val="center" w:pos="4536"/>
        <w:tab w:val="right" w:pos="9072"/>
      </w:tabs>
    </w:pPr>
  </w:style>
  <w:style w:type="character" w:customStyle="1" w:styleId="PieddepageCar">
    <w:name w:val="Pied de page Car"/>
    <w:basedOn w:val="Policepardfaut"/>
    <w:link w:val="Pieddepage"/>
    <w:uiPriority w:val="99"/>
    <w:rsid w:val="00052189"/>
    <w:rPr>
      <w:rFonts w:ascii="Calibri" w:hAnsi="Calibri"/>
      <w:sz w:val="22"/>
      <w:szCs w:val="24"/>
    </w:rPr>
  </w:style>
  <w:style w:type="paragraph" w:styleId="TM1">
    <w:name w:val="toc 1"/>
    <w:basedOn w:val="Normal"/>
    <w:next w:val="Normal"/>
    <w:autoRedefine/>
    <w:uiPriority w:val="39"/>
    <w:unhideWhenUsed/>
    <w:rsid w:val="00BC6A67"/>
    <w:pPr>
      <w:spacing w:after="100"/>
    </w:pPr>
  </w:style>
  <w:style w:type="table" w:styleId="Trameclaire-Accent5">
    <w:name w:val="Light Shading Accent 5"/>
    <w:basedOn w:val="TableauNormal"/>
    <w:uiPriority w:val="60"/>
    <w:rsid w:val="00EC474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moyenne1-Accent1">
    <w:name w:val="Medium Shading 1 Accent 1"/>
    <w:basedOn w:val="TableauNormal"/>
    <w:uiPriority w:val="63"/>
    <w:rsid w:val="00EC474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rillemoyenne1-Accent1">
    <w:name w:val="Medium Grid 1 Accent 1"/>
    <w:basedOn w:val="TableauNormal"/>
    <w:uiPriority w:val="67"/>
    <w:rsid w:val="00EC474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laire-Accent1">
    <w:name w:val="Light Grid Accent 1"/>
    <w:basedOn w:val="TableauNormal"/>
    <w:uiPriority w:val="62"/>
    <w:rsid w:val="00EC474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apple-converted-space">
    <w:name w:val="apple-converted-space"/>
    <w:basedOn w:val="Policepardfaut"/>
    <w:rsid w:val="00CA3AA1"/>
  </w:style>
  <w:style w:type="paragraph" w:styleId="NormalWeb">
    <w:name w:val="Normal (Web)"/>
    <w:basedOn w:val="Normal"/>
    <w:uiPriority w:val="99"/>
    <w:semiHidden/>
    <w:unhideWhenUsed/>
    <w:rsid w:val="00971E29"/>
    <w:pPr>
      <w:spacing w:before="100" w:beforeAutospacing="1" w:after="100" w:afterAutospacing="1"/>
    </w:pPr>
    <w:rPr>
      <w:rFonts w:ascii="Times New Roman" w:hAnsi="Times New Roman"/>
      <w:sz w:val="24"/>
    </w:rPr>
  </w:style>
  <w:style w:type="table" w:styleId="Grilleclaire-Accent5">
    <w:name w:val="Light Grid Accent 5"/>
    <w:basedOn w:val="TableauNormal"/>
    <w:uiPriority w:val="62"/>
    <w:rsid w:val="00AD6AC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7800">
      <w:bodyDiv w:val="1"/>
      <w:marLeft w:val="0"/>
      <w:marRight w:val="0"/>
      <w:marTop w:val="0"/>
      <w:marBottom w:val="0"/>
      <w:divBdr>
        <w:top w:val="none" w:sz="0" w:space="0" w:color="auto"/>
        <w:left w:val="none" w:sz="0" w:space="0" w:color="auto"/>
        <w:bottom w:val="none" w:sz="0" w:space="0" w:color="auto"/>
        <w:right w:val="none" w:sz="0" w:space="0" w:color="auto"/>
      </w:divBdr>
      <w:divsChild>
        <w:div w:id="735782766">
          <w:marLeft w:val="0"/>
          <w:marRight w:val="0"/>
          <w:marTop w:val="0"/>
          <w:marBottom w:val="0"/>
          <w:divBdr>
            <w:top w:val="none" w:sz="0" w:space="0" w:color="auto"/>
            <w:left w:val="none" w:sz="0" w:space="0" w:color="auto"/>
            <w:bottom w:val="none" w:sz="0" w:space="0" w:color="auto"/>
            <w:right w:val="none" w:sz="0" w:space="0" w:color="auto"/>
          </w:divBdr>
        </w:div>
        <w:div w:id="766274066">
          <w:marLeft w:val="0"/>
          <w:marRight w:val="0"/>
          <w:marTop w:val="0"/>
          <w:marBottom w:val="0"/>
          <w:divBdr>
            <w:top w:val="none" w:sz="0" w:space="0" w:color="auto"/>
            <w:left w:val="none" w:sz="0" w:space="0" w:color="auto"/>
            <w:bottom w:val="none" w:sz="0" w:space="0" w:color="auto"/>
            <w:right w:val="none" w:sz="0" w:space="0" w:color="auto"/>
          </w:divBdr>
        </w:div>
        <w:div w:id="1725786870">
          <w:marLeft w:val="0"/>
          <w:marRight w:val="0"/>
          <w:marTop w:val="0"/>
          <w:marBottom w:val="0"/>
          <w:divBdr>
            <w:top w:val="none" w:sz="0" w:space="0" w:color="auto"/>
            <w:left w:val="none" w:sz="0" w:space="0" w:color="auto"/>
            <w:bottom w:val="none" w:sz="0" w:space="0" w:color="auto"/>
            <w:right w:val="none" w:sz="0" w:space="0" w:color="auto"/>
          </w:divBdr>
        </w:div>
      </w:divsChild>
    </w:div>
    <w:div w:id="22705448">
      <w:bodyDiv w:val="1"/>
      <w:marLeft w:val="0"/>
      <w:marRight w:val="0"/>
      <w:marTop w:val="0"/>
      <w:marBottom w:val="0"/>
      <w:divBdr>
        <w:top w:val="none" w:sz="0" w:space="0" w:color="auto"/>
        <w:left w:val="none" w:sz="0" w:space="0" w:color="auto"/>
        <w:bottom w:val="none" w:sz="0" w:space="0" w:color="auto"/>
        <w:right w:val="none" w:sz="0" w:space="0" w:color="auto"/>
      </w:divBdr>
    </w:div>
    <w:div w:id="472018086">
      <w:bodyDiv w:val="1"/>
      <w:marLeft w:val="0"/>
      <w:marRight w:val="0"/>
      <w:marTop w:val="0"/>
      <w:marBottom w:val="0"/>
      <w:divBdr>
        <w:top w:val="none" w:sz="0" w:space="0" w:color="auto"/>
        <w:left w:val="none" w:sz="0" w:space="0" w:color="auto"/>
        <w:bottom w:val="none" w:sz="0" w:space="0" w:color="auto"/>
        <w:right w:val="none" w:sz="0" w:space="0" w:color="auto"/>
      </w:divBdr>
    </w:div>
    <w:div w:id="487133798">
      <w:bodyDiv w:val="1"/>
      <w:marLeft w:val="0"/>
      <w:marRight w:val="0"/>
      <w:marTop w:val="0"/>
      <w:marBottom w:val="0"/>
      <w:divBdr>
        <w:top w:val="none" w:sz="0" w:space="0" w:color="auto"/>
        <w:left w:val="none" w:sz="0" w:space="0" w:color="auto"/>
        <w:bottom w:val="none" w:sz="0" w:space="0" w:color="auto"/>
        <w:right w:val="none" w:sz="0" w:space="0" w:color="auto"/>
      </w:divBdr>
    </w:div>
    <w:div w:id="931166998">
      <w:bodyDiv w:val="1"/>
      <w:marLeft w:val="0"/>
      <w:marRight w:val="0"/>
      <w:marTop w:val="0"/>
      <w:marBottom w:val="0"/>
      <w:divBdr>
        <w:top w:val="none" w:sz="0" w:space="0" w:color="auto"/>
        <w:left w:val="none" w:sz="0" w:space="0" w:color="auto"/>
        <w:bottom w:val="none" w:sz="0" w:space="0" w:color="auto"/>
        <w:right w:val="none" w:sz="0" w:space="0" w:color="auto"/>
      </w:divBdr>
    </w:div>
    <w:div w:id="1677809835">
      <w:bodyDiv w:val="1"/>
      <w:marLeft w:val="0"/>
      <w:marRight w:val="0"/>
      <w:marTop w:val="0"/>
      <w:marBottom w:val="0"/>
      <w:divBdr>
        <w:top w:val="none" w:sz="0" w:space="0" w:color="auto"/>
        <w:left w:val="none" w:sz="0" w:space="0" w:color="auto"/>
        <w:bottom w:val="none" w:sz="0" w:space="0" w:color="auto"/>
        <w:right w:val="none" w:sz="0" w:space="0" w:color="auto"/>
      </w:divBdr>
    </w:div>
    <w:div w:id="180665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ga.fr/logiciel-agence-de-voyage/2705-2/" TargetMode="External"/><Relationship Id="rId4" Type="http://schemas.openxmlformats.org/officeDocument/2006/relationships/settings" Target="settings.xml"/><Relationship Id="rId9" Type="http://schemas.openxmlformats.org/officeDocument/2006/relationships/hyperlink" Target="http://t9.iga-voyag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42B3B-03A2-416E-8583-6D2F2E0AB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1078</Words>
  <Characters>5930</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SFD –  Process de vente – Fiche client</vt:lpstr>
    </vt:vector>
  </TitlesOfParts>
  <Company>Microsoft</Company>
  <LinksUpToDate>false</LinksUpToDate>
  <CharactersWithSpaces>6995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 –  Process de vente – Fiche client</dc:title>
  <dc:creator>Maroussia LANGLAIS</dc:creator>
  <cp:lastModifiedBy>Laurent SAINT JOANNET</cp:lastModifiedBy>
  <cp:revision>10</cp:revision>
  <cp:lastPrinted>2018-02-26T09:28:00Z</cp:lastPrinted>
  <dcterms:created xsi:type="dcterms:W3CDTF">2020-06-23T13:52:00Z</dcterms:created>
  <dcterms:modified xsi:type="dcterms:W3CDTF">2020-06-26T09:51:00Z</dcterms:modified>
</cp:coreProperties>
</file>